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B9" w:rsidRDefault="00E724B9">
      <w:pPr>
        <w:pStyle w:val="NormalWeb"/>
        <w:jc w:val="center"/>
        <w:rPr>
          <w:rFonts w:ascii="標楷體" w:eastAsia="標楷體" w:hAnsi="標楷體"/>
          <w:sz w:val="32"/>
          <w:szCs w:val="32"/>
        </w:rPr>
      </w:pPr>
      <w:bookmarkStart w:id="0" w:name="_GoBack"/>
      <w:bookmarkEnd w:id="0"/>
      <w:r>
        <w:rPr>
          <w:rStyle w:val="Strong"/>
          <w:rFonts w:ascii="標楷體" w:eastAsia="標楷體" w:hAnsi="標楷體" w:cs="標楷體"/>
          <w:sz w:val="32"/>
          <w:szCs w:val="32"/>
        </w:rPr>
        <w:t>2015</w:t>
      </w:r>
      <w:r>
        <w:rPr>
          <w:rStyle w:val="Strong"/>
          <w:rFonts w:ascii="標楷體" w:eastAsia="標楷體" w:hAnsi="標楷體" w:cs="標楷體" w:hint="eastAsia"/>
          <w:sz w:val="32"/>
          <w:szCs w:val="32"/>
        </w:rPr>
        <w:t>全國投資模擬競賽</w:t>
      </w:r>
    </w:p>
    <w:p w:rsidR="00E724B9" w:rsidRDefault="00E724B9">
      <w:pPr>
        <w:pStyle w:val="NormalWeb"/>
        <w:jc w:val="center"/>
        <w:rPr>
          <w:rFonts w:ascii="標楷體" w:eastAsia="標楷體" w:hAnsi="標楷體"/>
        </w:rPr>
      </w:pPr>
      <w:r>
        <w:rPr>
          <w:rStyle w:val="Strong"/>
          <w:rFonts w:ascii="標楷體" w:eastAsia="標楷體" w:hAnsi="標楷體" w:cs="標楷體" w:hint="eastAsia"/>
          <w:sz w:val="32"/>
          <w:szCs w:val="32"/>
        </w:rPr>
        <w:t>高中職組</w:t>
      </w:r>
      <w:r>
        <w:rPr>
          <w:rStyle w:val="Strong"/>
          <w:rFonts w:ascii="標楷體" w:eastAsia="標楷體" w:hAnsi="標楷體" w:cs="標楷體"/>
          <w:sz w:val="32"/>
          <w:szCs w:val="32"/>
        </w:rPr>
        <w:t>-</w:t>
      </w:r>
      <w:r>
        <w:rPr>
          <w:rStyle w:val="Strong"/>
          <w:rFonts w:ascii="標楷體" w:eastAsia="標楷體" w:hAnsi="標楷體" w:cs="標楷體" w:hint="eastAsia"/>
          <w:sz w:val="32"/>
          <w:szCs w:val="32"/>
        </w:rPr>
        <w:t>競賽規則</w:t>
      </w:r>
    </w:p>
    <w:p w:rsidR="00E724B9" w:rsidRDefault="00E724B9">
      <w:pPr>
        <w:pStyle w:val="NormalWeb"/>
        <w:rPr>
          <w:rFonts w:ascii="標楷體" w:eastAsia="標楷體" w:hAnsi="標楷體"/>
        </w:rPr>
      </w:pPr>
    </w:p>
    <w:p w:rsidR="00E724B9" w:rsidRDefault="00E724B9">
      <w:pPr>
        <w:pStyle w:val="NormalWeb"/>
        <w:rPr>
          <w:rFonts w:ascii="標楷體" w:eastAsia="標楷體" w:hAnsi="標楷體"/>
        </w:rPr>
      </w:pPr>
      <w:r>
        <w:rPr>
          <w:rFonts w:ascii="標楷體" w:eastAsia="標楷體" w:hAnsi="標楷體" w:cs="標楷體" w:hint="eastAsia"/>
        </w:rPr>
        <w:t>一、競賽內容：</w:t>
      </w:r>
    </w:p>
    <w:p w:rsidR="00E724B9" w:rsidRPr="00D92153" w:rsidRDefault="00E724B9" w:rsidP="003A6422">
      <w:pPr>
        <w:numPr>
          <w:ilvl w:val="0"/>
          <w:numId w:val="1"/>
        </w:numPr>
        <w:spacing w:before="100" w:beforeAutospacing="1" w:after="100" w:afterAutospacing="1" w:line="360" w:lineRule="auto"/>
        <w:rPr>
          <w:rFonts w:ascii="標楷體" w:eastAsia="標楷體" w:hAnsi="標楷體"/>
        </w:rPr>
      </w:pPr>
      <w:r w:rsidRPr="003A6422">
        <w:rPr>
          <w:rFonts w:ascii="標楷體" w:eastAsia="標楷體" w:hAnsi="標楷體" w:cs="標楷體" w:hint="eastAsia"/>
        </w:rPr>
        <w:t>參賽隊伍須列指導老師</w:t>
      </w:r>
      <w:r w:rsidRPr="003A6422">
        <w:rPr>
          <w:rFonts w:ascii="標楷體" w:eastAsia="標楷體" w:hAnsi="標楷體" w:cs="標楷體"/>
        </w:rPr>
        <w:t>(1</w:t>
      </w:r>
      <w:r w:rsidRPr="003A6422">
        <w:rPr>
          <w:rFonts w:ascii="標楷體" w:eastAsia="標楷體" w:hAnsi="標楷體" w:cs="標楷體" w:hint="eastAsia"/>
        </w:rPr>
        <w:t>位</w:t>
      </w:r>
      <w:r w:rsidRPr="003A6422">
        <w:rPr>
          <w:rFonts w:ascii="標楷體" w:eastAsia="標楷體" w:hAnsi="標楷體" w:cs="標楷體"/>
        </w:rPr>
        <w:t>)</w:t>
      </w:r>
      <w:r w:rsidRPr="003A6422">
        <w:rPr>
          <w:rFonts w:ascii="標楷體" w:eastAsia="標楷體" w:hAnsi="標楷體" w:cs="標楷體" w:hint="eastAsia"/>
        </w:rPr>
        <w:t>與參賽組員</w:t>
      </w:r>
      <w:r w:rsidRPr="003A6422">
        <w:rPr>
          <w:rFonts w:ascii="標楷體" w:eastAsia="標楷體" w:hAnsi="標楷體" w:cs="標楷體"/>
        </w:rPr>
        <w:t>(1~4</w:t>
      </w:r>
      <w:r w:rsidRPr="003A6422">
        <w:rPr>
          <w:rFonts w:ascii="標楷體" w:eastAsia="標楷體" w:hAnsi="標楷體" w:cs="標楷體" w:hint="eastAsia"/>
        </w:rPr>
        <w:t>位</w:t>
      </w:r>
      <w:r w:rsidRPr="003A6422">
        <w:rPr>
          <w:rFonts w:ascii="標楷體" w:eastAsia="標楷體" w:hAnsi="標楷體" w:cs="標楷體"/>
        </w:rPr>
        <w:t>)</w:t>
      </w:r>
      <w:r w:rsidRPr="003A6422">
        <w:rPr>
          <w:rFonts w:ascii="標楷體" w:eastAsia="標楷體" w:hAnsi="標楷體" w:cs="標楷體" w:hint="eastAsia"/>
        </w:rPr>
        <w:t>。</w:t>
      </w:r>
    </w:p>
    <w:p w:rsidR="00E724B9" w:rsidRPr="00D92153" w:rsidRDefault="00E724B9" w:rsidP="003A6422">
      <w:pPr>
        <w:numPr>
          <w:ilvl w:val="0"/>
          <w:numId w:val="1"/>
        </w:numPr>
        <w:spacing w:before="100" w:beforeAutospacing="1" w:after="100" w:afterAutospacing="1" w:line="360" w:lineRule="auto"/>
        <w:rPr>
          <w:rFonts w:ascii="標楷體" w:eastAsia="標楷體" w:hAnsi="標楷體"/>
        </w:rPr>
      </w:pPr>
      <w:r w:rsidRPr="003A6422">
        <w:rPr>
          <w:rFonts w:ascii="標楷體" w:eastAsia="標楷體" w:hAnsi="標楷體" w:cs="標楷體" w:hint="eastAsia"/>
        </w:rPr>
        <w:t>全國在學高中職生，參賽组數以</w:t>
      </w:r>
      <w:r w:rsidRPr="003A6422">
        <w:rPr>
          <w:rFonts w:ascii="標楷體" w:eastAsia="標楷體" w:hAnsi="標楷體" w:cs="標楷體"/>
        </w:rPr>
        <w:t>400</w:t>
      </w:r>
      <w:r w:rsidRPr="003A6422">
        <w:rPr>
          <w:rFonts w:ascii="標楷體" w:eastAsia="標楷體" w:hAnsi="標楷體" w:cs="標楷體" w:hint="eastAsia"/>
        </w:rPr>
        <w:t>组為限。</w:t>
      </w:r>
    </w:p>
    <w:p w:rsidR="00E724B9" w:rsidRPr="003A6422" w:rsidRDefault="00E724B9" w:rsidP="003A6422">
      <w:pPr>
        <w:numPr>
          <w:ilvl w:val="0"/>
          <w:numId w:val="1"/>
        </w:numPr>
        <w:spacing w:before="100" w:beforeAutospacing="1" w:after="100" w:afterAutospacing="1" w:line="360" w:lineRule="auto"/>
        <w:rPr>
          <w:rFonts w:ascii="標楷體" w:eastAsia="標楷體" w:hAnsi="標楷體" w:cs="標楷體"/>
        </w:rPr>
      </w:pPr>
      <w:r w:rsidRPr="003A6422">
        <w:rPr>
          <w:rFonts w:ascii="標楷體" w:eastAsia="標楷體" w:hAnsi="標楷體" w:cs="標楷體" w:hint="eastAsia"/>
        </w:rPr>
        <w:t>競賽期間為</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/11/2~201</w:t>
      </w:r>
      <w:r>
        <w:rPr>
          <w:rFonts w:ascii="標楷體" w:eastAsia="標楷體" w:hAnsi="標楷體" w:cs="標楷體"/>
        </w:rPr>
        <w:t>5</w:t>
      </w:r>
      <w:r w:rsidRPr="003A6422">
        <w:rPr>
          <w:rFonts w:ascii="標楷體" w:eastAsia="標楷體" w:hAnsi="標楷體" w:cs="標楷體"/>
        </w:rPr>
        <w:t>/11/2</w:t>
      </w:r>
      <w:r>
        <w:rPr>
          <w:rFonts w:ascii="標楷體" w:eastAsia="標楷體" w:hAnsi="標楷體" w:cs="標楷體"/>
        </w:rPr>
        <w:t>7</w:t>
      </w:r>
      <w:r w:rsidRPr="003A6422">
        <w:rPr>
          <w:rFonts w:ascii="標楷體" w:eastAsia="標楷體" w:hAnsi="標楷體" w:cs="標楷體" w:hint="eastAsia"/>
        </w:rPr>
        <w:t>，試玩期間為：</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/10/</w:t>
      </w:r>
      <w:r>
        <w:rPr>
          <w:rFonts w:ascii="標楷體" w:eastAsia="標楷體" w:hAnsi="標楷體" w:cs="標楷體"/>
        </w:rPr>
        <w:t>12</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/10/3</w:t>
      </w:r>
      <w:r>
        <w:rPr>
          <w:rFonts w:ascii="標楷體" w:eastAsia="標楷體" w:hAnsi="標楷體" w:cs="標楷體"/>
        </w:rPr>
        <w:t>0</w:t>
      </w:r>
      <w:r w:rsidRPr="003A6422">
        <w:rPr>
          <w:rFonts w:ascii="標楷體" w:eastAsia="標楷體" w:hAnsi="標楷體" w:cs="標楷體" w:hint="eastAsia"/>
        </w:rPr>
        <w:t>，試玩結束後，將於</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/10/3</w:t>
      </w:r>
      <w:r>
        <w:rPr>
          <w:rFonts w:ascii="標楷體" w:eastAsia="標楷體" w:hAnsi="標楷體" w:cs="標楷體"/>
        </w:rPr>
        <w:t>0</w:t>
      </w:r>
      <w:r w:rsidRPr="003A6422">
        <w:rPr>
          <w:rFonts w:ascii="標楷體" w:eastAsia="標楷體" w:hAnsi="標楷體" w:cs="標楷體" w:hint="eastAsia"/>
        </w:rPr>
        <w:t>收盤後重設競賽，清除相關交易記錄並還原至初始金額；部位建立期為：</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/11/</w:t>
      </w:r>
      <w:r>
        <w:rPr>
          <w:rFonts w:ascii="標楷體" w:eastAsia="標楷體" w:hAnsi="標楷體" w:cs="標楷體"/>
        </w:rPr>
        <w:t>2</w:t>
      </w:r>
      <w:r w:rsidRPr="003A6422">
        <w:rPr>
          <w:rFonts w:ascii="標楷體" w:eastAsia="標楷體" w:hAnsi="標楷體" w:cs="標楷體"/>
        </w:rPr>
        <w:t>~201</w:t>
      </w:r>
      <w:r>
        <w:rPr>
          <w:rFonts w:ascii="標楷體" w:eastAsia="標楷體" w:hAnsi="標楷體" w:cs="標楷體"/>
        </w:rPr>
        <w:t>5</w:t>
      </w:r>
      <w:r w:rsidRPr="003A6422">
        <w:rPr>
          <w:rFonts w:ascii="標楷體" w:eastAsia="標楷體" w:hAnsi="標楷體" w:cs="標楷體"/>
        </w:rPr>
        <w:t>/11/</w:t>
      </w:r>
      <w:r>
        <w:rPr>
          <w:rFonts w:ascii="標楷體" w:eastAsia="標楷體" w:hAnsi="標楷體" w:cs="標楷體"/>
        </w:rPr>
        <w:t>6</w:t>
      </w:r>
      <w:r w:rsidRPr="003A6422">
        <w:rPr>
          <w:rFonts w:ascii="標楷體" w:eastAsia="標楷體" w:hAnsi="標楷體" w:cs="標楷體" w:hint="eastAsia"/>
        </w:rPr>
        <w:t>，部位建立期不進行違規懲處。</w:t>
      </w:r>
      <w:r w:rsidRPr="003A6422">
        <w:rPr>
          <w:rFonts w:ascii="標楷體" w:eastAsia="標楷體" w:hAnsi="標楷體" w:cs="標楷體"/>
        </w:rPr>
        <w:t xml:space="preserve"> </w:t>
      </w:r>
    </w:p>
    <w:p w:rsidR="00E724B9" w:rsidRDefault="00E724B9" w:rsidP="003A6422">
      <w:pPr>
        <w:numPr>
          <w:ilvl w:val="0"/>
          <w:numId w:val="1"/>
        </w:numPr>
        <w:spacing w:before="100" w:beforeAutospacing="1" w:after="100" w:afterAutospacing="1" w:line="360" w:lineRule="auto"/>
        <w:rPr>
          <w:rFonts w:ascii="標楷體" w:eastAsia="標楷體" w:hAnsi="標楷體"/>
        </w:rPr>
      </w:pPr>
      <w:r>
        <w:rPr>
          <w:rFonts w:ascii="標楷體" w:eastAsia="標楷體" w:hAnsi="標楷體" w:cs="標楷體" w:hint="eastAsia"/>
        </w:rPr>
        <w:t>各組投資標的及投資組合規定如下：</w:t>
      </w:r>
    </w:p>
    <w:tbl>
      <w:tblPr>
        <w:tblW w:w="4920" w:type="pct"/>
        <w:tblCellSpacing w:w="7"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14"/>
        <w:gridCol w:w="2672"/>
        <w:gridCol w:w="3074"/>
        <w:gridCol w:w="1724"/>
        <w:gridCol w:w="657"/>
      </w:tblGrid>
      <w:tr w:rsidR="00E724B9" w:rsidRPr="00D92153">
        <w:trPr>
          <w:tblCellSpacing w:w="7" w:type="dxa"/>
        </w:trPr>
        <w:tc>
          <w:tcPr>
            <w:tcW w:w="730" w:type="pct"/>
            <w:tcBorders>
              <w:top w:val="outset" w:sz="6" w:space="0" w:color="auto"/>
              <w:bottom w:val="outset" w:sz="6" w:space="0" w:color="auto"/>
              <w:right w:val="outset" w:sz="6" w:space="0" w:color="auto"/>
            </w:tcBorders>
            <w:noWrap/>
          </w:tcPr>
          <w:p w:rsidR="00E724B9" w:rsidRPr="00D92153" w:rsidRDefault="00E724B9">
            <w:pPr>
              <w:jc w:val="center"/>
              <w:rPr>
                <w:rFonts w:ascii="標楷體" w:eastAsia="標楷體" w:hAnsi="標楷體"/>
                <w:b/>
                <w:bCs/>
              </w:rPr>
            </w:pPr>
            <w:r w:rsidRPr="00D92153">
              <w:rPr>
                <w:rFonts w:ascii="標楷體" w:eastAsia="標楷體" w:hAnsi="標楷體"/>
                <w:b/>
                <w:bCs/>
              </w:rPr>
              <w:t> </w:t>
            </w:r>
          </w:p>
        </w:tc>
        <w:tc>
          <w:tcPr>
            <w:tcW w:w="1393" w:type="pct"/>
            <w:tcBorders>
              <w:top w:val="outset" w:sz="6" w:space="0" w:color="auto"/>
              <w:left w:val="outset" w:sz="6" w:space="0" w:color="auto"/>
              <w:bottom w:val="outset" w:sz="6" w:space="0" w:color="auto"/>
              <w:right w:val="outset" w:sz="6" w:space="0" w:color="auto"/>
            </w:tcBorders>
            <w:noWrap/>
          </w:tcPr>
          <w:p w:rsidR="00E724B9" w:rsidRPr="00D92153" w:rsidRDefault="00E724B9">
            <w:pPr>
              <w:jc w:val="center"/>
              <w:rPr>
                <w:rFonts w:ascii="標楷體" w:eastAsia="標楷體" w:hAnsi="標楷體" w:cs="標楷體"/>
                <w:b/>
                <w:bCs/>
              </w:rPr>
            </w:pPr>
            <w:r w:rsidRPr="00D92153">
              <w:rPr>
                <w:rFonts w:ascii="標楷體" w:eastAsia="標楷體" w:hAnsi="標楷體" w:cs="標楷體" w:hint="eastAsia"/>
                <w:b/>
                <w:bCs/>
              </w:rPr>
              <w:t>投資種類</w:t>
            </w:r>
            <w:r w:rsidRPr="00D92153">
              <w:rPr>
                <w:rFonts w:ascii="標楷體" w:eastAsia="標楷體" w:hAnsi="標楷體" w:cs="標楷體"/>
                <w:b/>
                <w:bCs/>
              </w:rPr>
              <w:t>(</w:t>
            </w:r>
            <w:r w:rsidRPr="00D92153">
              <w:rPr>
                <w:rFonts w:ascii="標楷體" w:eastAsia="標楷體" w:hAnsi="標楷體" w:cs="標楷體" w:hint="eastAsia"/>
                <w:b/>
                <w:bCs/>
              </w:rPr>
              <w:t>標的</w:t>
            </w:r>
            <w:r w:rsidRPr="00D92153">
              <w:rPr>
                <w:rFonts w:ascii="標楷體" w:eastAsia="標楷體" w:hAnsi="標楷體" w:cs="標楷體"/>
                <w:b/>
                <w:bCs/>
              </w:rPr>
              <w:t>)</w:t>
            </w:r>
          </w:p>
        </w:tc>
        <w:tc>
          <w:tcPr>
            <w:tcW w:w="1604" w:type="pct"/>
            <w:tcBorders>
              <w:top w:val="outset" w:sz="6" w:space="0" w:color="auto"/>
              <w:left w:val="outset" w:sz="6" w:space="0" w:color="auto"/>
              <w:bottom w:val="outset" w:sz="6" w:space="0" w:color="auto"/>
              <w:right w:val="outset" w:sz="6" w:space="0" w:color="auto"/>
            </w:tcBorders>
            <w:noWrap/>
          </w:tcPr>
          <w:p w:rsidR="00E724B9" w:rsidRPr="00D92153" w:rsidRDefault="00E724B9">
            <w:pPr>
              <w:jc w:val="center"/>
              <w:rPr>
                <w:rFonts w:ascii="標楷體" w:eastAsia="標楷體" w:hAnsi="標楷體" w:cs="標楷體"/>
                <w:b/>
                <w:bCs/>
              </w:rPr>
            </w:pPr>
            <w:r w:rsidRPr="00D92153">
              <w:rPr>
                <w:rFonts w:ascii="標楷體" w:eastAsia="標楷體" w:hAnsi="標楷體" w:cs="標楷體" w:hint="eastAsia"/>
                <w:b/>
                <w:bCs/>
              </w:rPr>
              <w:t>持股方式</w:t>
            </w:r>
            <w:r w:rsidRPr="00D92153">
              <w:rPr>
                <w:rFonts w:ascii="標楷體" w:eastAsia="標楷體" w:hAnsi="標楷體" w:cs="標楷體"/>
                <w:b/>
                <w:bCs/>
              </w:rPr>
              <w:t xml:space="preserve"> </w:t>
            </w:r>
          </w:p>
        </w:tc>
        <w:tc>
          <w:tcPr>
            <w:tcW w:w="896" w:type="pct"/>
            <w:tcBorders>
              <w:top w:val="outset" w:sz="6" w:space="0" w:color="auto"/>
              <w:left w:val="outset" w:sz="6" w:space="0" w:color="auto"/>
              <w:bottom w:val="outset" w:sz="6" w:space="0" w:color="auto"/>
              <w:right w:val="outset" w:sz="6" w:space="0" w:color="auto"/>
            </w:tcBorders>
            <w:noWrap/>
          </w:tcPr>
          <w:p w:rsidR="00E724B9" w:rsidRPr="00D92153" w:rsidRDefault="00E724B9">
            <w:pPr>
              <w:jc w:val="center"/>
              <w:rPr>
                <w:rFonts w:ascii="標楷體" w:eastAsia="標楷體" w:hAnsi="標楷體" w:cs="標楷體"/>
                <w:b/>
                <w:bCs/>
              </w:rPr>
            </w:pPr>
            <w:r w:rsidRPr="00D92153">
              <w:rPr>
                <w:rFonts w:ascii="標楷體" w:eastAsia="標楷體" w:hAnsi="標楷體" w:cs="標楷體" w:hint="eastAsia"/>
                <w:b/>
                <w:bCs/>
              </w:rPr>
              <w:t>原始投資金額</w:t>
            </w:r>
            <w:r w:rsidRPr="00D92153">
              <w:rPr>
                <w:rFonts w:ascii="標楷體" w:eastAsia="標楷體" w:hAnsi="標楷體" w:cs="標楷體"/>
                <w:b/>
                <w:bCs/>
              </w:rPr>
              <w:t xml:space="preserve"> </w:t>
            </w:r>
          </w:p>
        </w:tc>
        <w:tc>
          <w:tcPr>
            <w:tcW w:w="333" w:type="pct"/>
            <w:tcBorders>
              <w:top w:val="outset" w:sz="6" w:space="0" w:color="auto"/>
              <w:left w:val="outset" w:sz="6" w:space="0" w:color="auto"/>
              <w:bottom w:val="outset" w:sz="6" w:space="0" w:color="auto"/>
            </w:tcBorders>
            <w:noWrap/>
          </w:tcPr>
          <w:p w:rsidR="00E724B9" w:rsidRPr="00D92153" w:rsidRDefault="00E724B9">
            <w:pPr>
              <w:jc w:val="center"/>
              <w:rPr>
                <w:rFonts w:ascii="標楷體" w:eastAsia="標楷體" w:hAnsi="標楷體" w:cs="標楷體"/>
                <w:b/>
                <w:bCs/>
              </w:rPr>
            </w:pPr>
            <w:r w:rsidRPr="00D92153">
              <w:rPr>
                <w:rFonts w:ascii="標楷體" w:eastAsia="標楷體" w:hAnsi="標楷體" w:cs="標楷體" w:hint="eastAsia"/>
                <w:b/>
                <w:bCs/>
              </w:rPr>
              <w:t>規則</w:t>
            </w:r>
            <w:r w:rsidRPr="00D92153">
              <w:rPr>
                <w:rFonts w:ascii="標楷體" w:eastAsia="標楷體" w:hAnsi="標楷體" w:cs="標楷體"/>
                <w:b/>
                <w:bCs/>
              </w:rPr>
              <w:t xml:space="preserve"> </w:t>
            </w:r>
          </w:p>
        </w:tc>
      </w:tr>
      <w:tr w:rsidR="00E724B9" w:rsidRPr="00D92153">
        <w:trPr>
          <w:tblCellSpacing w:w="7" w:type="dxa"/>
        </w:trPr>
        <w:tc>
          <w:tcPr>
            <w:tcW w:w="730" w:type="pct"/>
            <w:tcBorders>
              <w:top w:val="outset" w:sz="6" w:space="0" w:color="auto"/>
              <w:bottom w:val="outset" w:sz="6" w:space="0" w:color="auto"/>
              <w:right w:val="outset" w:sz="6" w:space="0" w:color="auto"/>
            </w:tcBorders>
            <w:noWrap/>
            <w:vAlign w:val="center"/>
          </w:tcPr>
          <w:p w:rsidR="00E724B9" w:rsidRPr="00D92153" w:rsidRDefault="00E724B9" w:rsidP="005C731A">
            <w:pPr>
              <w:pStyle w:val="NormalWeb"/>
              <w:jc w:val="center"/>
              <w:rPr>
                <w:rFonts w:ascii="標楷體" w:eastAsia="標楷體" w:hAnsi="標楷體"/>
                <w:b/>
                <w:bCs/>
              </w:rPr>
            </w:pPr>
            <w:r w:rsidRPr="00D92153">
              <w:rPr>
                <w:rFonts w:ascii="標楷體" w:eastAsia="標楷體" w:hAnsi="標楷體" w:cs="標楷體" w:hint="eastAsia"/>
                <w:b/>
                <w:bCs/>
              </w:rPr>
              <w:t>高中職類</w:t>
            </w:r>
          </w:p>
        </w:tc>
        <w:tc>
          <w:tcPr>
            <w:tcW w:w="1393" w:type="pct"/>
            <w:tcBorders>
              <w:top w:val="outset" w:sz="6" w:space="0" w:color="auto"/>
              <w:left w:val="outset" w:sz="6" w:space="0" w:color="auto"/>
              <w:bottom w:val="outset" w:sz="6" w:space="0" w:color="auto"/>
              <w:right w:val="outset" w:sz="6" w:space="0" w:color="auto"/>
            </w:tcBorders>
            <w:vAlign w:val="center"/>
          </w:tcPr>
          <w:p w:rsidR="00E724B9" w:rsidRPr="00D92153" w:rsidRDefault="00E724B9">
            <w:pPr>
              <w:pStyle w:val="NormalWeb"/>
              <w:rPr>
                <w:rFonts w:ascii="標楷體" w:eastAsia="標楷體" w:hAnsi="標楷體"/>
              </w:rPr>
            </w:pPr>
            <w:r w:rsidRPr="00D92153">
              <w:rPr>
                <w:rFonts w:ascii="標楷體" w:eastAsia="標楷體" w:hAnsi="標楷體" w:cs="標楷體" w:hint="eastAsia"/>
              </w:rPr>
              <w:t>股票</w:t>
            </w:r>
          </w:p>
        </w:tc>
        <w:tc>
          <w:tcPr>
            <w:tcW w:w="1604" w:type="pct"/>
            <w:tcBorders>
              <w:top w:val="outset" w:sz="6" w:space="0" w:color="auto"/>
              <w:left w:val="outset" w:sz="6" w:space="0" w:color="auto"/>
              <w:bottom w:val="outset" w:sz="6" w:space="0" w:color="auto"/>
              <w:right w:val="outset" w:sz="6" w:space="0" w:color="auto"/>
            </w:tcBorders>
            <w:vAlign w:val="center"/>
          </w:tcPr>
          <w:p w:rsidR="00E724B9" w:rsidRPr="00D92153" w:rsidRDefault="00E724B9">
            <w:pPr>
              <w:pStyle w:val="NormalWeb"/>
              <w:rPr>
                <w:rFonts w:ascii="標楷體" w:eastAsia="標楷體" w:hAnsi="標楷體"/>
              </w:rPr>
            </w:pPr>
            <w:r w:rsidRPr="00D92153">
              <w:rPr>
                <w:rFonts w:ascii="標楷體" w:eastAsia="標楷體" w:hAnsi="標楷體" w:cs="標楷體" w:hint="eastAsia"/>
              </w:rPr>
              <w:t>投資上市、上櫃股票</w:t>
            </w:r>
          </w:p>
        </w:tc>
        <w:tc>
          <w:tcPr>
            <w:tcW w:w="896" w:type="pct"/>
            <w:tcBorders>
              <w:top w:val="outset" w:sz="6" w:space="0" w:color="auto"/>
              <w:left w:val="outset" w:sz="6" w:space="0" w:color="auto"/>
              <w:bottom w:val="outset" w:sz="6" w:space="0" w:color="auto"/>
              <w:right w:val="outset" w:sz="6" w:space="0" w:color="auto"/>
            </w:tcBorders>
            <w:vAlign w:val="center"/>
          </w:tcPr>
          <w:p w:rsidR="00E724B9" w:rsidRPr="00D92153" w:rsidRDefault="00E724B9">
            <w:pPr>
              <w:pStyle w:val="NormalWeb"/>
              <w:rPr>
                <w:rFonts w:ascii="標楷體" w:eastAsia="標楷體" w:hAnsi="標楷體" w:cs="標楷體"/>
              </w:rPr>
            </w:pPr>
            <w:r w:rsidRPr="00D92153">
              <w:rPr>
                <w:rFonts w:ascii="標楷體" w:eastAsia="標楷體" w:hAnsi="標楷體" w:cs="標楷體"/>
              </w:rPr>
              <w:t>NT$10,000,000</w:t>
            </w:r>
          </w:p>
        </w:tc>
        <w:tc>
          <w:tcPr>
            <w:tcW w:w="333" w:type="pct"/>
            <w:tcBorders>
              <w:top w:val="outset" w:sz="6" w:space="0" w:color="auto"/>
              <w:left w:val="outset" w:sz="6" w:space="0" w:color="auto"/>
              <w:bottom w:val="outset" w:sz="6" w:space="0" w:color="auto"/>
            </w:tcBorders>
            <w:vAlign w:val="center"/>
          </w:tcPr>
          <w:p w:rsidR="00E724B9" w:rsidRPr="00D92153" w:rsidRDefault="00E724B9">
            <w:pPr>
              <w:pStyle w:val="NormalWeb"/>
              <w:jc w:val="center"/>
              <w:rPr>
                <w:rFonts w:ascii="標楷體" w:eastAsia="標楷體" w:hAnsi="標楷體" w:cs="標楷體"/>
              </w:rPr>
            </w:pPr>
            <w:r>
              <w:rPr>
                <w:rFonts w:ascii="標楷體" w:eastAsia="標楷體" w:hAnsi="標楷體" w:cs="標楷體"/>
              </w:rPr>
              <w:t>(1</w:t>
            </w:r>
            <w:r w:rsidRPr="00D92153">
              <w:rPr>
                <w:rFonts w:ascii="標楷體" w:eastAsia="標楷體" w:hAnsi="標楷體" w:cs="標楷體"/>
              </w:rPr>
              <w:t>)</w:t>
            </w:r>
          </w:p>
        </w:tc>
      </w:tr>
    </w:tbl>
    <w:p w:rsidR="00E724B9" w:rsidRPr="00D92153" w:rsidRDefault="00E724B9" w:rsidP="00CD1944">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w:t>
      </w:r>
      <w:r>
        <w:rPr>
          <w:rFonts w:ascii="標楷體" w:eastAsia="標楷體" w:hAnsi="標楷體" w:cs="標楷體"/>
        </w:rPr>
        <w:t>1</w:t>
      </w:r>
      <w:r w:rsidRPr="00D92153">
        <w:rPr>
          <w:rFonts w:ascii="標楷體" w:eastAsia="標楷體" w:hAnsi="標楷體" w:cs="標楷體"/>
        </w:rPr>
        <w:t xml:space="preserve">) </w:t>
      </w:r>
      <w:r w:rsidRPr="00D92153">
        <w:rPr>
          <w:rFonts w:ascii="標楷體" w:eastAsia="標楷體" w:hAnsi="標楷體" w:cs="標楷體" w:hint="eastAsia"/>
        </w:rPr>
        <w:t>高中職類：</w:t>
      </w:r>
      <w:r w:rsidRPr="00D92153">
        <w:rPr>
          <w:rFonts w:ascii="標楷體" w:eastAsia="標楷體" w:hAnsi="標楷體" w:cs="標楷體"/>
        </w:rPr>
        <w:t xml:space="preserve"> </w:t>
      </w:r>
    </w:p>
    <w:p w:rsidR="00E724B9" w:rsidRPr="00D92153" w:rsidRDefault="00E724B9" w:rsidP="00CD1944">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 xml:space="preserve">I . </w:t>
      </w:r>
      <w:r w:rsidRPr="00D92153">
        <w:rPr>
          <w:rFonts w:ascii="標楷體" w:eastAsia="標楷體" w:hAnsi="標楷體" w:cs="標楷體" w:hint="eastAsia"/>
        </w:rPr>
        <w:t>選擇『</w:t>
      </w:r>
      <w:r w:rsidRPr="00D92153">
        <w:rPr>
          <w:rFonts w:ascii="標楷體" w:eastAsia="標楷體" w:hAnsi="標楷體" w:cs="標楷體"/>
        </w:rPr>
        <w:t xml:space="preserve"> 10-20 </w:t>
      </w:r>
      <w:r w:rsidRPr="00D92153">
        <w:rPr>
          <w:rFonts w:ascii="標楷體" w:eastAsia="標楷體" w:hAnsi="標楷體" w:cs="標楷體" w:hint="eastAsia"/>
        </w:rPr>
        <w:t>檔』上市或上櫃之個股，</w:t>
      </w:r>
      <w:r w:rsidRPr="00D92153">
        <w:rPr>
          <w:rFonts w:ascii="標楷體" w:eastAsia="標楷體" w:hAnsi="標楷體" w:cs="標楷體" w:hint="eastAsia"/>
          <w:b/>
          <w:bCs/>
        </w:rPr>
        <w:t>股票部位可融資可融券</w:t>
      </w:r>
      <w:r w:rsidRPr="00D92153">
        <w:rPr>
          <w:rFonts w:ascii="標楷體" w:eastAsia="標楷體" w:hAnsi="標楷體" w:cs="標楷體" w:hint="eastAsia"/>
        </w:rPr>
        <w:t>；</w:t>
      </w:r>
      <w:r w:rsidRPr="00D92153">
        <w:rPr>
          <w:rFonts w:ascii="標楷體" w:eastAsia="標楷體" w:hAnsi="標楷體" w:cs="標楷體"/>
        </w:rPr>
        <w:t xml:space="preserve"> </w:t>
      </w:r>
    </w:p>
    <w:p w:rsidR="00E724B9" w:rsidRPr="00D92153" w:rsidRDefault="00E724B9" w:rsidP="00CD1944">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II .</w:t>
      </w:r>
      <w:r>
        <w:rPr>
          <w:rFonts w:ascii="標楷體" w:eastAsia="標楷體" w:hAnsi="標楷體" w:cs="標楷體" w:hint="eastAsia"/>
        </w:rPr>
        <w:t>總</w:t>
      </w:r>
      <w:r w:rsidRPr="00D92153">
        <w:rPr>
          <w:rFonts w:ascii="標楷體" w:eastAsia="標楷體" w:hAnsi="標楷體" w:cs="標楷體" w:hint="eastAsia"/>
        </w:rPr>
        <w:t>持有部位價值須達每日總資產價值『七成</w:t>
      </w:r>
      <w:r w:rsidRPr="00D92153">
        <w:rPr>
          <w:rFonts w:ascii="標楷體" w:eastAsia="標楷體" w:hAnsi="標楷體" w:cs="標楷體"/>
        </w:rPr>
        <w:t xml:space="preserve"> ( </w:t>
      </w:r>
      <w:r w:rsidRPr="00D92153">
        <w:rPr>
          <w:rFonts w:ascii="標楷體" w:eastAsia="標楷體" w:hAnsi="標楷體" w:cs="標楷體" w:hint="eastAsia"/>
        </w:rPr>
        <w:t>含</w:t>
      </w:r>
      <w:r w:rsidRPr="00D92153">
        <w:rPr>
          <w:rFonts w:ascii="標楷體" w:eastAsia="標楷體" w:hAnsi="標楷體" w:cs="標楷體"/>
        </w:rPr>
        <w:t xml:space="preserve"> ) </w:t>
      </w:r>
      <w:r w:rsidRPr="00D92153">
        <w:rPr>
          <w:rFonts w:ascii="標楷體" w:eastAsia="標楷體" w:hAnsi="標楷體" w:cs="標楷體" w:hint="eastAsia"/>
        </w:rPr>
        <w:t>』以上；</w:t>
      </w:r>
      <w:r w:rsidRPr="00D92153">
        <w:rPr>
          <w:rFonts w:ascii="標楷體" w:eastAsia="標楷體" w:hAnsi="標楷體" w:cs="標楷體"/>
        </w:rPr>
        <w:t xml:space="preserve"> </w:t>
      </w:r>
    </w:p>
    <w:p w:rsidR="00E724B9" w:rsidRPr="00D92153" w:rsidRDefault="00E724B9" w:rsidP="00CD1944">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III.</w:t>
      </w:r>
      <w:r w:rsidRPr="00D92153">
        <w:rPr>
          <w:rFonts w:ascii="標楷體" w:eastAsia="標楷體" w:hAnsi="標楷體" w:cs="標楷體" w:hint="eastAsia"/>
        </w:rPr>
        <w:t>每日總持有檔數必須維持在此規定範圍內，以『總報酬率』最高者為勝。</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w:t>
      </w:r>
      <w:r>
        <w:rPr>
          <w:rFonts w:ascii="標楷體" w:eastAsia="標楷體" w:hAnsi="標楷體" w:cs="標楷體"/>
        </w:rPr>
        <w:t>2</w:t>
      </w:r>
      <w:r w:rsidRPr="00D92153">
        <w:rPr>
          <w:rFonts w:ascii="標楷體" w:eastAsia="標楷體" w:hAnsi="標楷體" w:cs="標楷體"/>
        </w:rPr>
        <w:t xml:space="preserve">) </w:t>
      </w:r>
      <w:r w:rsidRPr="00D92153">
        <w:rPr>
          <w:rFonts w:ascii="標楷體" w:eastAsia="標楷體" w:hAnsi="標楷體" w:cs="標楷體" w:hint="eastAsia"/>
        </w:rPr>
        <w:t>所有競賽投組均考慮『交易成本』：</w:t>
      </w:r>
      <w:r w:rsidRPr="00D92153">
        <w:rPr>
          <w:rFonts w:ascii="標楷體" w:eastAsia="標楷體" w:hAnsi="標楷體" w:cs="標楷體"/>
        </w:rPr>
        <w:t xml:space="preserve"> </w:t>
      </w:r>
    </w:p>
    <w:p w:rsidR="00E724B9" w:rsidRPr="005E1F97" w:rsidRDefault="00E724B9" w:rsidP="005E1F97">
      <w:pPr>
        <w:numPr>
          <w:ilvl w:val="2"/>
          <w:numId w:val="1"/>
        </w:numPr>
        <w:spacing w:before="100" w:beforeAutospacing="1" w:after="100" w:afterAutospacing="1"/>
        <w:rPr>
          <w:rFonts w:ascii="標楷體" w:eastAsia="標楷體" w:hAnsi="標楷體" w:cs="標楷體"/>
        </w:rPr>
      </w:pPr>
      <w:r w:rsidRPr="00D92153">
        <w:rPr>
          <w:rFonts w:ascii="標楷體" w:eastAsia="標楷體" w:hAnsi="標楷體" w:cs="標楷體" w:hint="eastAsia"/>
        </w:rPr>
        <w:t>股票：交易稅千分之</w:t>
      </w:r>
      <w:r w:rsidRPr="00D92153">
        <w:rPr>
          <w:rFonts w:ascii="標楷體" w:eastAsia="標楷體" w:hAnsi="標楷體" w:cs="標楷體"/>
        </w:rPr>
        <w:t xml:space="preserve"> 3 </w:t>
      </w:r>
      <w:r w:rsidRPr="00D92153">
        <w:rPr>
          <w:rFonts w:ascii="標楷體" w:eastAsia="標楷體" w:hAnsi="標楷體" w:cs="標楷體" w:hint="eastAsia"/>
        </w:rPr>
        <w:t>；手續費千分之</w:t>
      </w:r>
      <w:r w:rsidRPr="00D92153">
        <w:rPr>
          <w:rFonts w:ascii="標楷體" w:eastAsia="標楷體" w:hAnsi="標楷體" w:cs="標楷體"/>
        </w:rPr>
        <w:t xml:space="preserve"> 1.425 </w:t>
      </w:r>
      <w:r w:rsidRPr="005E1F97">
        <w:rPr>
          <w:rFonts w:ascii="標楷體" w:eastAsia="標楷體" w:hAnsi="標楷體" w:cs="標楷體" w:hint="eastAsia"/>
        </w:rPr>
        <w:t>。</w:t>
      </w:r>
      <w:r w:rsidRPr="005E1F97">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rPr>
      </w:pPr>
    </w:p>
    <w:p w:rsidR="00E724B9" w:rsidRPr="00D92153" w:rsidRDefault="00E724B9">
      <w:pPr>
        <w:pStyle w:val="NormalWeb"/>
        <w:rPr>
          <w:rFonts w:ascii="標楷體" w:eastAsia="標楷體" w:hAnsi="標楷體" w:cs="標楷體"/>
        </w:rPr>
      </w:pPr>
      <w:r w:rsidRPr="00D92153">
        <w:rPr>
          <w:rFonts w:ascii="標楷體" w:eastAsia="標楷體" w:hAnsi="標楷體" w:cs="標楷體" w:hint="eastAsia"/>
        </w:rPr>
        <w:t>二、</w:t>
      </w:r>
      <w:r w:rsidRPr="00D92153">
        <w:rPr>
          <w:rFonts w:ascii="標楷體" w:eastAsia="標楷體" w:hAnsi="標楷體" w:cs="標楷體"/>
        </w:rPr>
        <w:t xml:space="preserve"> </w:t>
      </w:r>
      <w:r w:rsidRPr="00D92153">
        <w:rPr>
          <w:rFonts w:ascii="標楷體" w:eastAsia="標楷體" w:hAnsi="標楷體" w:cs="標楷體" w:hint="eastAsia"/>
        </w:rPr>
        <w:t>違反規則：</w:t>
      </w:r>
      <w:r w:rsidRPr="00D92153">
        <w:rPr>
          <w:rFonts w:ascii="標楷體" w:eastAsia="標楷體" w:hAnsi="標楷體" w:cs="標楷體"/>
        </w:rPr>
        <w:t xml:space="preserve"> </w:t>
      </w:r>
    </w:p>
    <w:p w:rsidR="00E724B9" w:rsidRPr="00D92153" w:rsidRDefault="00E724B9">
      <w:pPr>
        <w:numPr>
          <w:ilvl w:val="0"/>
          <w:numId w:val="2"/>
        </w:numPr>
        <w:spacing w:before="100" w:beforeAutospacing="1" w:after="100" w:afterAutospacing="1"/>
        <w:rPr>
          <w:rFonts w:ascii="標楷體" w:eastAsia="標楷體" w:hAnsi="標楷體" w:cs="標楷體"/>
        </w:rPr>
      </w:pPr>
      <w:r w:rsidRPr="00D92153">
        <w:rPr>
          <w:rFonts w:ascii="標楷體" w:eastAsia="標楷體" w:hAnsi="標楷體" w:cs="標楷體" w:hint="eastAsia"/>
        </w:rPr>
        <w:t>以下之規定於每日收盤後檢查，僅以實際持股計算，掛單部位不予計算。</w:t>
      </w:r>
      <w:r w:rsidRPr="00D92153">
        <w:rPr>
          <w:rFonts w:ascii="標楷體" w:eastAsia="標楷體" w:hAnsi="標楷體" w:cs="標楷體"/>
        </w:rPr>
        <w:t xml:space="preserve"> </w:t>
      </w:r>
    </w:p>
    <w:p w:rsidR="00E724B9" w:rsidRPr="00D92153" w:rsidRDefault="00E724B9">
      <w:pPr>
        <w:numPr>
          <w:ilvl w:val="0"/>
          <w:numId w:val="2"/>
        </w:numPr>
        <w:spacing w:before="100" w:beforeAutospacing="1" w:after="100" w:afterAutospacing="1"/>
        <w:rPr>
          <w:rFonts w:ascii="標楷體" w:eastAsia="標楷體" w:hAnsi="標楷體" w:cs="標楷體"/>
        </w:rPr>
      </w:pPr>
      <w:r w:rsidRPr="00D92153">
        <w:rPr>
          <w:rFonts w:ascii="標楷體" w:eastAsia="標楷體" w:hAnsi="標楷體" w:cs="標楷體" w:hint="eastAsia"/>
        </w:rPr>
        <w:t>每日追蹤『投資種類</w:t>
      </w:r>
      <w:r w:rsidRPr="00D92153">
        <w:rPr>
          <w:rFonts w:ascii="標楷體" w:eastAsia="標楷體" w:hAnsi="標楷體" w:cs="標楷體"/>
        </w:rPr>
        <w:t xml:space="preserve"> ( </w:t>
      </w:r>
      <w:r w:rsidRPr="00D92153">
        <w:rPr>
          <w:rFonts w:ascii="標楷體" w:eastAsia="標楷體" w:hAnsi="標楷體" w:cs="標楷體" w:hint="eastAsia"/>
        </w:rPr>
        <w:t>標的</w:t>
      </w:r>
      <w:r w:rsidRPr="00D92153">
        <w:rPr>
          <w:rFonts w:ascii="標楷體" w:eastAsia="標楷體" w:hAnsi="標楷體" w:cs="標楷體"/>
        </w:rPr>
        <w:t xml:space="preserve"> ) </w:t>
      </w:r>
      <w:r w:rsidRPr="00D92153">
        <w:rPr>
          <w:rFonts w:ascii="標楷體" w:eastAsia="標楷體" w:hAnsi="標楷體" w:cs="標楷體" w:hint="eastAsia"/>
        </w:rPr>
        <w:t>』有無符合規定。違反規定者，扣分方式如下：</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原『總報酬率』為</w:t>
      </w:r>
      <w:r w:rsidRPr="00D92153">
        <w:rPr>
          <w:rFonts w:ascii="標楷體" w:eastAsia="標楷體" w:hAnsi="標楷體" w:cs="標楷體"/>
        </w:rPr>
        <w:t xml:space="preserve"> 12% </w:t>
      </w:r>
      <w:r w:rsidRPr="00D92153">
        <w:rPr>
          <w:rFonts w:ascii="標楷體" w:eastAsia="標楷體" w:hAnsi="標楷體" w:cs="標楷體" w:hint="eastAsia"/>
        </w:rPr>
        <w:t>，若違反一項規定扣減</w:t>
      </w:r>
      <w:r w:rsidRPr="00D92153">
        <w:rPr>
          <w:rFonts w:ascii="標楷體" w:eastAsia="標楷體" w:hAnsi="標楷體" w:cs="標楷體"/>
        </w:rPr>
        <w:t>1%</w:t>
      </w:r>
      <w:r w:rsidRPr="00D92153">
        <w:rPr>
          <w:rFonts w:ascii="標楷體" w:eastAsia="標楷體" w:hAnsi="標楷體" w:cs="標楷體" w:hint="eastAsia"/>
        </w:rPr>
        <w:t>，結算後之『總報酬率』為</w:t>
      </w:r>
      <w:r w:rsidRPr="00D92153">
        <w:rPr>
          <w:rFonts w:ascii="標楷體" w:eastAsia="標楷體" w:hAnsi="標楷體" w:cs="標楷體"/>
        </w:rPr>
        <w:t xml:space="preserve"> 11% </w:t>
      </w:r>
      <w:r w:rsidRPr="00D92153">
        <w:rPr>
          <w:rFonts w:ascii="標楷體" w:eastAsia="標楷體" w:hAnsi="標楷體" w:cs="標楷體" w:hint="eastAsia"/>
        </w:rPr>
        <w:t>；</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rPr>
      </w:pPr>
      <w:r w:rsidRPr="00D92153">
        <w:rPr>
          <w:rFonts w:ascii="標楷體" w:eastAsia="標楷體" w:hAnsi="標楷體" w:cs="標楷體"/>
        </w:rPr>
        <w:t xml:space="preserve">(2) </w:t>
      </w:r>
      <w:r w:rsidRPr="00D92153">
        <w:rPr>
          <w:rFonts w:ascii="標楷體" w:eastAsia="標楷體" w:hAnsi="標楷體" w:cs="標楷體" w:hint="eastAsia"/>
        </w:rPr>
        <w:t>違反規定扣減之報酬率採累計計算；</w:t>
      </w:r>
    </w:p>
    <w:p w:rsidR="00E724B9" w:rsidRPr="00D92153" w:rsidRDefault="00E724B9">
      <w:pPr>
        <w:spacing w:before="100" w:beforeAutospacing="1" w:after="100" w:afterAutospacing="1"/>
        <w:ind w:left="1080"/>
        <w:rPr>
          <w:rFonts w:ascii="標楷體" w:eastAsia="標楷體" w:hAnsi="標楷體"/>
        </w:rPr>
      </w:pPr>
      <w:r w:rsidRPr="00D92153">
        <w:rPr>
          <w:rFonts w:ascii="標楷體" w:eastAsia="標楷體" w:hAnsi="標楷體" w:cs="標楷體"/>
        </w:rPr>
        <w:t xml:space="preserve">(3) </w:t>
      </w:r>
      <w:r w:rsidRPr="00D92153">
        <w:rPr>
          <w:rFonts w:ascii="標楷體" w:eastAsia="標楷體" w:hAnsi="標楷體" w:cs="標楷體" w:hint="eastAsia"/>
        </w:rPr>
        <w:t>每天最多以懲處</w:t>
      </w:r>
      <w:r w:rsidRPr="00D92153">
        <w:rPr>
          <w:rFonts w:ascii="標楷體" w:eastAsia="標楷體" w:hAnsi="標楷體" w:cs="標楷體"/>
        </w:rPr>
        <w:t xml:space="preserve"> 2% </w:t>
      </w:r>
      <w:r w:rsidRPr="00D92153">
        <w:rPr>
          <w:rFonts w:ascii="標楷體" w:eastAsia="標楷體" w:hAnsi="標楷體" w:cs="標楷體" w:hint="eastAsia"/>
        </w:rPr>
        <w:t>為上限。</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3. </w:t>
      </w:r>
      <w:r w:rsidRPr="00D92153">
        <w:rPr>
          <w:rFonts w:ascii="標楷體" w:eastAsia="標楷體" w:hAnsi="標楷體" w:cs="標楷體" w:hint="eastAsia"/>
        </w:rPr>
        <w:t>每日追蹤『每日檔數』及『持有部位價值』有無符合規定，扣分原則同上。</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4. </w:t>
      </w:r>
      <w:r w:rsidRPr="00D92153">
        <w:rPr>
          <w:rFonts w:ascii="標楷體" w:eastAsia="標楷體" w:hAnsi="標楷體" w:cs="標楷體" w:hint="eastAsia"/>
        </w:rPr>
        <w:t>每日追蹤當日下單上限筆數</w:t>
      </w:r>
      <w:r w:rsidRPr="00D92153">
        <w:rPr>
          <w:rFonts w:ascii="標楷體" w:eastAsia="標楷體" w:hAnsi="標楷體" w:cs="標楷體"/>
        </w:rPr>
        <w:t xml:space="preserve"> 200 </w:t>
      </w:r>
      <w:r w:rsidRPr="00D92153">
        <w:rPr>
          <w:rFonts w:ascii="標楷體" w:eastAsia="標楷體" w:hAnsi="標楷體" w:cs="標楷體" w:hint="eastAsia"/>
        </w:rPr>
        <w:t>筆，違規者依上述第</w:t>
      </w:r>
      <w:r w:rsidRPr="00D92153">
        <w:rPr>
          <w:rFonts w:ascii="標楷體" w:eastAsia="標楷體" w:hAnsi="標楷體" w:cs="標楷體"/>
        </w:rPr>
        <w:t xml:space="preserve"> 2 </w:t>
      </w:r>
      <w:r w:rsidRPr="00D92153">
        <w:rPr>
          <w:rFonts w:ascii="標楷體" w:eastAsia="標楷體" w:hAnsi="標楷體" w:cs="標楷體" w:hint="eastAsia"/>
        </w:rPr>
        <w:t>項規則內容懲處。</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5. </w:t>
      </w:r>
      <w:r w:rsidRPr="00D92153">
        <w:rPr>
          <w:rFonts w:ascii="標楷體" w:eastAsia="標楷體" w:hAnsi="標楷體" w:cs="標楷體" w:hint="eastAsia"/>
        </w:rPr>
        <w:t>違反規則，情節嚴重者，主辦單位得取消其參賽資格。</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6. </w:t>
      </w:r>
      <w:r w:rsidRPr="00D92153">
        <w:rPr>
          <w:rFonts w:ascii="標楷體" w:eastAsia="標楷體" w:hAnsi="標楷體" w:cs="標楷體" w:hint="eastAsia"/>
        </w:rPr>
        <w:t>部位建立期間，不進行違規懲處。</w:t>
      </w:r>
      <w:r w:rsidRPr="00D92153">
        <w:rPr>
          <w:rFonts w:ascii="標楷體" w:eastAsia="標楷體" w:hAnsi="標楷體" w:cs="標楷體"/>
        </w:rPr>
        <w:t xml:space="preserve"> </w:t>
      </w:r>
    </w:p>
    <w:p w:rsidR="00E724B9" w:rsidRPr="00D92153" w:rsidRDefault="00E724B9">
      <w:pPr>
        <w:pStyle w:val="NormalWeb"/>
        <w:rPr>
          <w:rFonts w:ascii="標楷體" w:eastAsia="標楷體" w:hAnsi="標楷體"/>
        </w:rPr>
      </w:pPr>
    </w:p>
    <w:p w:rsidR="00E724B9" w:rsidRPr="00D92153" w:rsidRDefault="00E724B9">
      <w:pPr>
        <w:pStyle w:val="NormalWeb"/>
        <w:rPr>
          <w:rFonts w:ascii="標楷體" w:eastAsia="標楷體" w:hAnsi="標楷體"/>
        </w:rPr>
      </w:pPr>
    </w:p>
    <w:p w:rsidR="00E724B9" w:rsidRPr="00D92153" w:rsidRDefault="00E724B9">
      <w:pPr>
        <w:pStyle w:val="NormalWeb"/>
        <w:rPr>
          <w:rFonts w:ascii="標楷體" w:eastAsia="標楷體" w:hAnsi="標楷體" w:cs="標楷體"/>
        </w:rPr>
      </w:pPr>
      <w:r w:rsidRPr="00D92153">
        <w:rPr>
          <w:rFonts w:ascii="標楷體" w:eastAsia="標楷體" w:hAnsi="標楷體" w:cs="標楷體" w:hint="eastAsia"/>
        </w:rPr>
        <w:t>三</w:t>
      </w:r>
      <w:r w:rsidRPr="00D92153">
        <w:rPr>
          <w:rFonts w:ascii="標楷體" w:eastAsia="標楷體" w:hAnsi="標楷體" w:cs="標楷體"/>
        </w:rPr>
        <w:t xml:space="preserve"> . </w:t>
      </w:r>
      <w:r w:rsidRPr="00D92153">
        <w:rPr>
          <w:rFonts w:ascii="標楷體" w:eastAsia="標楷體" w:hAnsi="標楷體" w:cs="標楷體" w:hint="eastAsia"/>
        </w:rPr>
        <w:t>虛擬交易所主要交易規定：</w:t>
      </w:r>
      <w:r w:rsidRPr="00D92153">
        <w:rPr>
          <w:rFonts w:ascii="標楷體" w:eastAsia="標楷體" w:hAnsi="標楷體" w:cs="標楷體"/>
        </w:rPr>
        <w:t xml:space="preserve"> </w:t>
      </w:r>
    </w:p>
    <w:p w:rsidR="00E724B9" w:rsidRPr="00D92153" w:rsidRDefault="00E724B9">
      <w:pPr>
        <w:numPr>
          <w:ilvl w:val="0"/>
          <w:numId w:val="3"/>
        </w:numPr>
        <w:spacing w:before="100" w:beforeAutospacing="1" w:after="100" w:afterAutospacing="1"/>
        <w:rPr>
          <w:rFonts w:ascii="標楷體" w:eastAsia="標楷體" w:hAnsi="標楷體" w:cs="標楷體"/>
        </w:rPr>
      </w:pPr>
      <w:r w:rsidRPr="00D92153">
        <w:rPr>
          <w:rFonts w:ascii="標楷體" w:eastAsia="標楷體" w:hAnsi="標楷體" w:cs="標楷體" w:hint="eastAsia"/>
        </w:rPr>
        <w:t>交易日期：同台灣證券交易所公佈交易日。</w:t>
      </w:r>
      <w:r w:rsidRPr="00D92153">
        <w:rPr>
          <w:rFonts w:ascii="標楷體" w:eastAsia="標楷體" w:hAnsi="標楷體" w:cs="標楷體"/>
        </w:rPr>
        <w:t xml:space="preserve"> </w:t>
      </w:r>
    </w:p>
    <w:p w:rsidR="00E724B9" w:rsidRPr="00D92153" w:rsidRDefault="00E724B9">
      <w:pPr>
        <w:numPr>
          <w:ilvl w:val="0"/>
          <w:numId w:val="3"/>
        </w:numPr>
        <w:spacing w:before="100" w:beforeAutospacing="1" w:after="100" w:afterAutospacing="1"/>
        <w:rPr>
          <w:rFonts w:ascii="標楷體" w:eastAsia="標楷體" w:hAnsi="標楷體" w:cs="標楷體"/>
        </w:rPr>
      </w:pPr>
      <w:r w:rsidRPr="00D92153">
        <w:rPr>
          <w:rFonts w:ascii="標楷體" w:eastAsia="標楷體" w:hAnsi="標楷體" w:cs="標楷體" w:hint="eastAsia"/>
        </w:rPr>
        <w:t>交易時間：</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台灣證券交易所，每日交易日期之</w:t>
      </w:r>
      <w:r w:rsidRPr="00D92153">
        <w:rPr>
          <w:rFonts w:ascii="標楷體" w:eastAsia="標楷體" w:hAnsi="標楷體" w:cs="標楷體"/>
        </w:rPr>
        <w:t xml:space="preserve"> </w:t>
      </w:r>
    </w:p>
    <w:p w:rsidR="00E724B9" w:rsidRPr="00D92153" w:rsidRDefault="00E724B9" w:rsidP="005E1F97">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 xml:space="preserve">I. </w:t>
      </w:r>
      <w:r w:rsidRPr="00D92153">
        <w:rPr>
          <w:rFonts w:ascii="標楷體" w:eastAsia="標楷體" w:hAnsi="標楷體" w:cs="標楷體" w:hint="eastAsia"/>
        </w:rPr>
        <w:t>現貨交易時間為『上午</w:t>
      </w:r>
      <w:r w:rsidRPr="00D92153">
        <w:rPr>
          <w:rFonts w:ascii="標楷體" w:eastAsia="標楷體" w:hAnsi="標楷體" w:cs="標楷體"/>
        </w:rPr>
        <w:t xml:space="preserve"> 09 </w:t>
      </w:r>
      <w:r w:rsidRPr="00D92153">
        <w:rPr>
          <w:rFonts w:ascii="標楷體" w:eastAsia="標楷體" w:hAnsi="標楷體" w:cs="標楷體" w:hint="eastAsia"/>
        </w:rPr>
        <w:t>：</w:t>
      </w:r>
      <w:r w:rsidRPr="00D92153">
        <w:rPr>
          <w:rFonts w:ascii="標楷體" w:eastAsia="標楷體" w:hAnsi="標楷體" w:cs="標楷體"/>
        </w:rPr>
        <w:t xml:space="preserve"> 00 </w:t>
      </w:r>
      <w:r w:rsidRPr="00D92153">
        <w:rPr>
          <w:rFonts w:ascii="標楷體" w:eastAsia="標楷體" w:hAnsi="標楷體" w:cs="標楷體" w:hint="eastAsia"/>
        </w:rPr>
        <w:t>至下午</w:t>
      </w:r>
      <w:r w:rsidRPr="00D92153">
        <w:rPr>
          <w:rFonts w:ascii="標楷體" w:eastAsia="標楷體" w:hAnsi="標楷體" w:cs="標楷體"/>
        </w:rPr>
        <w:t xml:space="preserve"> 01 </w:t>
      </w:r>
      <w:r w:rsidRPr="00D92153">
        <w:rPr>
          <w:rFonts w:ascii="標楷體" w:eastAsia="標楷體" w:hAnsi="標楷體" w:cs="標楷體" w:hint="eastAsia"/>
        </w:rPr>
        <w:t>：</w:t>
      </w:r>
      <w:r w:rsidRPr="00D92153">
        <w:rPr>
          <w:rFonts w:ascii="標楷體" w:eastAsia="標楷體" w:hAnsi="標楷體" w:cs="標楷體"/>
        </w:rPr>
        <w:t xml:space="preserve"> 30 </w:t>
      </w:r>
      <w:r w:rsidRPr="00D92153">
        <w:rPr>
          <w:rFonts w:ascii="標楷體" w:eastAsia="標楷體" w:hAnsi="標楷體" w:cs="標楷體" w:hint="eastAsia"/>
        </w:rPr>
        <w:t>』。</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3. </w:t>
      </w:r>
      <w:r w:rsidRPr="00D92153">
        <w:rPr>
          <w:rFonts w:ascii="標楷體" w:eastAsia="標楷體" w:hAnsi="標楷體" w:cs="標楷體" w:hint="eastAsia"/>
        </w:rPr>
        <w:t>交易場所：透過網際網路進入『虛擬交易所』網頁，即為本次競賽之交易場所。</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4. </w:t>
      </w:r>
      <w:r w:rsidRPr="00D92153">
        <w:rPr>
          <w:rFonts w:ascii="標楷體" w:eastAsia="標楷體" w:hAnsi="標楷體" w:cs="標楷體" w:hint="eastAsia"/>
        </w:rPr>
        <w:t>交易方式：</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於虛擬交易所內，透過『掛單買進』或『掛單賣出』下達掛單指令，如『掛單價格』與『掛單數量』。</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(2) </w:t>
      </w:r>
      <w:r w:rsidRPr="00D92153">
        <w:rPr>
          <w:rFonts w:ascii="標楷體" w:eastAsia="標楷體" w:hAnsi="標楷體" w:cs="標楷體" w:hint="eastAsia"/>
        </w:rPr>
        <w:t>前項須依市場實際成交行情於虛擬交易所內進行交易撮合，撮合成功才視為成交。</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(3) </w:t>
      </w:r>
      <w:r w:rsidRPr="00D92153">
        <w:rPr>
          <w:rFonts w:ascii="標楷體" w:eastAsia="標楷體" w:hAnsi="標楷體" w:cs="標楷體" w:hint="eastAsia"/>
        </w:rPr>
        <w:t>掛單價格種類，請見『掛單類別』。</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5. </w:t>
      </w:r>
      <w:r w:rsidRPr="00D92153">
        <w:rPr>
          <w:rFonts w:ascii="標楷體" w:eastAsia="標楷體" w:hAnsi="標楷體" w:cs="標楷體" w:hint="eastAsia"/>
        </w:rPr>
        <w:t>撮合次數：</w:t>
      </w:r>
      <w:r w:rsidRPr="00D92153">
        <w:rPr>
          <w:rFonts w:ascii="標楷體" w:eastAsia="標楷體" w:hAnsi="標楷體" w:cs="標楷體"/>
        </w:rPr>
        <w:t xml:space="preserve"> </w:t>
      </w:r>
    </w:p>
    <w:p w:rsidR="00E724B9" w:rsidRPr="00D92153" w:rsidRDefault="00E724B9">
      <w:pPr>
        <w:spacing w:before="100" w:beforeAutospacing="1" w:after="100" w:afterAutospacing="1"/>
        <w:ind w:left="1440" w:hanging="240"/>
        <w:rPr>
          <w:rFonts w:ascii="標楷體" w:eastAsia="標楷體" w:hAnsi="標楷體"/>
        </w:rPr>
      </w:pPr>
      <w:r w:rsidRPr="00D92153">
        <w:rPr>
          <w:rFonts w:ascii="標楷體" w:eastAsia="標楷體" w:hAnsi="標楷體" w:cs="標楷體"/>
        </w:rPr>
        <w:t>(1)</w:t>
      </w:r>
      <w:r w:rsidRPr="00D92153">
        <w:rPr>
          <w:rFonts w:ascii="標楷體" w:eastAsia="標楷體" w:hAnsi="標楷體" w:cs="標楷體" w:hint="eastAsia"/>
        </w:rPr>
        <w:t>系統自開盤時間，</w:t>
      </w:r>
      <w:r w:rsidRPr="00D92153">
        <w:rPr>
          <w:rFonts w:ascii="標楷體" w:eastAsia="標楷體" w:hAnsi="標楷體" w:cs="標楷體" w:hint="eastAsia"/>
          <w:shd w:val="pct15" w:color="auto" w:fill="FFFFFF"/>
        </w:rPr>
        <w:t>模擬當時市場實際行情可成交之價格與數量進行撮合</w:t>
      </w:r>
      <w:r w:rsidRPr="00D92153">
        <w:rPr>
          <w:rFonts w:ascii="標楷體" w:eastAsia="標楷體" w:hAnsi="標楷體" w:cs="標楷體" w:hint="eastAsia"/>
        </w:rPr>
        <w:t>；但競賽開始前幾日可能會因競賽成員大量建立部位而導致委託量大增，故撮合時間與間隔得視情況而有所調整，請參賽者特別注意。</w:t>
      </w:r>
    </w:p>
    <w:p w:rsidR="00E724B9" w:rsidRPr="00D92153" w:rsidRDefault="00E724B9">
      <w:pPr>
        <w:spacing w:before="100" w:beforeAutospacing="1" w:after="100" w:afterAutospacing="1"/>
        <w:ind w:left="1440" w:hanging="240"/>
        <w:rPr>
          <w:rFonts w:ascii="標楷體" w:eastAsia="標楷體" w:hAnsi="標楷體"/>
        </w:rPr>
      </w:pPr>
      <w:r w:rsidRPr="00D92153">
        <w:rPr>
          <w:rFonts w:ascii="標楷體" w:eastAsia="標楷體" w:hAnsi="標楷體" w:cs="標楷體"/>
        </w:rPr>
        <w:t>(2)</w:t>
      </w:r>
      <w:r w:rsidRPr="00D92153">
        <w:rPr>
          <w:rFonts w:ascii="標楷體" w:eastAsia="標楷體" w:hAnsi="標楷體" w:cs="標楷體" w:hint="eastAsia"/>
        </w:rPr>
        <w:t>『盤前掛單』：現貨一律以上午</w:t>
      </w:r>
      <w:r w:rsidRPr="00D92153">
        <w:rPr>
          <w:rFonts w:ascii="標楷體" w:eastAsia="標楷體" w:hAnsi="標楷體" w:cs="標楷體"/>
        </w:rPr>
        <w:t>9:00</w:t>
      </w:r>
      <w:r w:rsidRPr="00D92153">
        <w:rPr>
          <w:rFonts w:ascii="標楷體" w:eastAsia="標楷體" w:hAnsi="標楷體" w:cs="標楷體" w:hint="eastAsia"/>
        </w:rPr>
        <w:t>開盤後之交易價為成交參考基礎。</w:t>
      </w:r>
    </w:p>
    <w:p w:rsidR="00E724B9" w:rsidRPr="00D92153" w:rsidRDefault="00E724B9">
      <w:pPr>
        <w:spacing w:before="100" w:beforeAutospacing="1" w:after="100" w:afterAutospacing="1"/>
        <w:ind w:left="1440" w:hanging="240"/>
        <w:rPr>
          <w:rFonts w:ascii="標楷體" w:eastAsia="標楷體" w:hAnsi="標楷體"/>
        </w:rPr>
      </w:pPr>
      <w:r w:rsidRPr="00D92153">
        <w:rPr>
          <w:rFonts w:ascii="標楷體" w:eastAsia="標楷體" w:hAnsi="標楷體" w:cs="標楷體"/>
        </w:rPr>
        <w:t>(3)</w:t>
      </w:r>
      <w:r w:rsidRPr="00D92153">
        <w:rPr>
          <w:rFonts w:ascii="標楷體" w:eastAsia="標楷體" w:hAnsi="標楷體" w:cs="標楷體" w:hint="eastAsia"/>
        </w:rPr>
        <w:t>『盤中掛單』：以每分鐘所記錄之價格為基準；當日委託單若未成交，則盤後則全部自動取消。</w:t>
      </w:r>
    </w:p>
    <w:p w:rsidR="00E724B9" w:rsidRPr="00D92153" w:rsidRDefault="00E724B9">
      <w:pPr>
        <w:spacing w:before="100" w:beforeAutospacing="1" w:after="100" w:afterAutospacing="1"/>
        <w:ind w:left="1440" w:hanging="240"/>
        <w:rPr>
          <w:rFonts w:ascii="標楷體" w:eastAsia="標楷體" w:hAnsi="標楷體" w:cs="標楷體"/>
        </w:rPr>
      </w:pPr>
      <w:r w:rsidRPr="00D92153">
        <w:rPr>
          <w:rFonts w:ascii="標楷體" w:eastAsia="標楷體" w:hAnsi="標楷體" w:cs="標楷體"/>
        </w:rPr>
        <w:t>(4)</w:t>
      </w:r>
      <w:r w:rsidRPr="00D92153">
        <w:rPr>
          <w:rFonts w:ascii="標楷體" w:eastAsia="標楷體" w:hAnsi="標楷體" w:cs="標楷體" w:hint="eastAsia"/>
        </w:rPr>
        <w:t>『盤後掛單』：股市收盤後亦可以下單，視為下一交易日之盤前掛單。</w:t>
      </w:r>
      <w:r w:rsidRPr="00D92153">
        <w:rPr>
          <w:rFonts w:ascii="標楷體" w:eastAsia="標楷體" w:hAnsi="標楷體" w:cs="標楷體"/>
        </w:rPr>
        <w:t>(</w:t>
      </w:r>
      <w:r w:rsidRPr="00D92153">
        <w:rPr>
          <w:rFonts w:ascii="標楷體" w:eastAsia="標楷體" w:hAnsi="標楷體" w:cs="標楷體" w:hint="eastAsia"/>
        </w:rPr>
        <w:t>即可以預約下一交易日的委託下單</w:t>
      </w:r>
      <w:r w:rsidRPr="00D92153">
        <w:rPr>
          <w:rFonts w:ascii="標楷體" w:eastAsia="標楷體" w:hAnsi="標楷體" w:cs="標楷體"/>
        </w:rPr>
        <w:t>)</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6.</w:t>
      </w:r>
      <w:r w:rsidRPr="00D92153">
        <w:rPr>
          <w:rFonts w:ascii="標楷體" w:eastAsia="標楷體" w:hAnsi="標楷體" w:cs="標楷體" w:hint="eastAsia"/>
        </w:rPr>
        <w:t>交易標的：</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rPr>
      </w:pPr>
      <w:r w:rsidRPr="00D92153">
        <w:rPr>
          <w:rFonts w:ascii="標楷體" w:eastAsia="標楷體" w:hAnsi="標楷體" w:cs="標楷體"/>
        </w:rPr>
        <w:t>(1)</w:t>
      </w:r>
      <w:r w:rsidRPr="00D92153">
        <w:rPr>
          <w:rFonts w:ascii="標楷體" w:eastAsia="標楷體" w:hAnsi="標楷體" w:cs="標楷體" w:hint="eastAsia"/>
        </w:rPr>
        <w:t>依據</w:t>
      </w:r>
      <w:r>
        <w:rPr>
          <w:rFonts w:ascii="標楷體" w:eastAsia="標楷體" w:hAnsi="標楷體" w:cs="標楷體" w:hint="eastAsia"/>
        </w:rPr>
        <w:t>競賽</w:t>
      </w:r>
      <w:r w:rsidRPr="00D92153">
        <w:rPr>
          <w:rFonts w:ascii="標楷體" w:eastAsia="標楷體" w:hAnsi="標楷體" w:cs="標楷體" w:hint="eastAsia"/>
        </w:rPr>
        <w:t>所設定之可投資標的種類交易</w:t>
      </w:r>
      <w:r w:rsidRPr="00D92153">
        <w:rPr>
          <w:rFonts w:ascii="標楷體" w:eastAsia="標楷體" w:hAnsi="標楷體" w:cs="標楷體"/>
        </w:rPr>
        <w:t xml:space="preserve"> </w:t>
      </w:r>
      <w:r w:rsidRPr="00D92153">
        <w:rPr>
          <w:rFonts w:ascii="標楷體" w:eastAsia="標楷體" w:hAnsi="標楷體" w:cs="標楷體" w:hint="eastAsia"/>
        </w:rPr>
        <w:t>。</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7.</w:t>
      </w:r>
      <w:r w:rsidRPr="00D92153">
        <w:rPr>
          <w:rFonts w:ascii="標楷體" w:eastAsia="標楷體" w:hAnsi="標楷體" w:cs="標楷體" w:hint="eastAsia"/>
        </w:rPr>
        <w:t>買賣方式：</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rPr>
      </w:pPr>
      <w:r w:rsidRPr="00D92153">
        <w:rPr>
          <w:rFonts w:ascii="標楷體" w:eastAsia="標楷體" w:hAnsi="標楷體" w:cs="標楷體"/>
        </w:rPr>
        <w:t xml:space="preserve">(1) </w:t>
      </w:r>
      <w:r w:rsidRPr="00D92153">
        <w:rPr>
          <w:rFonts w:ascii="標楷體" w:eastAsia="標楷體" w:hAnsi="標楷體" w:cs="標楷體" w:hint="eastAsia"/>
        </w:rPr>
        <w:t>股票進行融資、融券買賣時，不考慮公司目前是否有資券餘額。</w:t>
      </w:r>
    </w:p>
    <w:p w:rsidR="00E724B9" w:rsidRPr="00D92153" w:rsidRDefault="00E724B9" w:rsidP="005E1F97">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8.</w:t>
      </w:r>
      <w:r w:rsidRPr="00D92153">
        <w:rPr>
          <w:rFonts w:ascii="標楷體" w:eastAsia="標楷體" w:hAnsi="標楷體" w:cs="標楷體" w:hint="eastAsia"/>
        </w:rPr>
        <w:t>掛單類別：可選擇『漲停價』、『跌停價</w:t>
      </w:r>
      <w:r>
        <w:rPr>
          <w:rFonts w:ascii="標楷體" w:eastAsia="標楷體" w:hAnsi="標楷體" w:cs="標楷體" w:hint="eastAsia"/>
        </w:rPr>
        <w:t>』</w:t>
      </w:r>
      <w:r w:rsidRPr="00D92153">
        <w:rPr>
          <w:rFonts w:ascii="標楷體" w:eastAsia="標楷體" w:hAnsi="標楷體" w:cs="標楷體" w:hint="eastAsia"/>
        </w:rPr>
        <w:t>或『限價單』。</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Pr>
          <w:rFonts w:ascii="標楷體" w:eastAsia="標楷體" w:hAnsi="標楷體" w:cs="標楷體"/>
        </w:rPr>
        <w:t>9</w:t>
      </w:r>
      <w:r w:rsidRPr="00D92153">
        <w:rPr>
          <w:rFonts w:ascii="標楷體" w:eastAsia="標楷體" w:hAnsi="標楷體" w:cs="標楷體"/>
        </w:rPr>
        <w:t xml:space="preserve">. </w:t>
      </w:r>
      <w:r w:rsidRPr="00D92153">
        <w:rPr>
          <w:rFonts w:ascii="標楷體" w:eastAsia="標楷體" w:hAnsi="標楷體" w:cs="標楷體" w:hint="eastAsia"/>
        </w:rPr>
        <w:t>融資、融券的保證金：</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融資保證金成數上市、上櫃分別為『四成』與『五成』，融券保證金成數上市、上櫃皆為『九成』；</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(2) </w:t>
      </w:r>
      <w:r w:rsidRPr="00D92153">
        <w:rPr>
          <w:rFonts w:ascii="標楷體" w:eastAsia="標楷體" w:hAnsi="標楷體" w:cs="標楷體" w:hint="eastAsia"/>
        </w:rPr>
        <w:t>融資、融券部位若全部回補後，保證金部位將全部回到現金。</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1</w:t>
      </w:r>
      <w:r>
        <w:rPr>
          <w:rFonts w:ascii="標楷體" w:eastAsia="標楷體" w:hAnsi="標楷體" w:cs="標楷體"/>
        </w:rPr>
        <w:t>0</w:t>
      </w:r>
      <w:r w:rsidRPr="00D92153">
        <w:rPr>
          <w:rFonts w:ascii="標楷體" w:eastAsia="標楷體" w:hAnsi="標楷體" w:cs="標楷體"/>
        </w:rPr>
        <w:t xml:space="preserve">. </w:t>
      </w:r>
      <w:r w:rsidRPr="00D92153">
        <w:rPr>
          <w:rFonts w:ascii="標楷體" w:eastAsia="標楷體" w:hAnsi="標楷體" w:cs="標楷體" w:hint="eastAsia"/>
        </w:rPr>
        <w:t>當日沖銷：</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股票：虛擬交易所當日沖銷規定與市場不同，沖銷方式如下：</w:t>
      </w:r>
      <w:r w:rsidRPr="00D92153">
        <w:rPr>
          <w:rFonts w:ascii="標楷體" w:eastAsia="標楷體" w:hAnsi="標楷體" w:cs="標楷體"/>
        </w:rPr>
        <w:t xml:space="preserve"> </w:t>
      </w:r>
    </w:p>
    <w:p w:rsidR="00E724B9" w:rsidRPr="00D92153" w:rsidRDefault="00E724B9">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 xml:space="preserve">I. </w:t>
      </w:r>
      <w:r w:rsidRPr="00D92153">
        <w:rPr>
          <w:rFonts w:ascii="標楷體" w:eastAsia="標楷體" w:hAnsi="標楷體" w:cs="標楷體" w:hint="eastAsia"/>
        </w:rPr>
        <w:t>融資買進之部位必須以融資賣出的方式沖銷。</w:t>
      </w:r>
      <w:r w:rsidRPr="00D92153">
        <w:rPr>
          <w:rFonts w:ascii="標楷體" w:eastAsia="標楷體" w:hAnsi="標楷體" w:cs="標楷體"/>
        </w:rPr>
        <w:t xml:space="preserve"> </w:t>
      </w:r>
    </w:p>
    <w:p w:rsidR="00E724B9" w:rsidRPr="00D92153" w:rsidRDefault="00E724B9" w:rsidP="005E1F97">
      <w:pPr>
        <w:spacing w:before="100" w:beforeAutospacing="1" w:after="100" w:afterAutospacing="1"/>
        <w:ind w:left="1800"/>
        <w:rPr>
          <w:rFonts w:ascii="標楷體" w:eastAsia="標楷體" w:hAnsi="標楷體" w:cs="標楷體"/>
        </w:rPr>
      </w:pPr>
      <w:r w:rsidRPr="00D92153">
        <w:rPr>
          <w:rFonts w:ascii="標楷體" w:eastAsia="標楷體" w:hAnsi="標楷體" w:cs="標楷體"/>
        </w:rPr>
        <w:t xml:space="preserve">II. </w:t>
      </w:r>
      <w:r w:rsidRPr="00D92153">
        <w:rPr>
          <w:rFonts w:ascii="標楷體" w:eastAsia="標楷體" w:hAnsi="標楷體" w:cs="標楷體" w:hint="eastAsia"/>
        </w:rPr>
        <w:t>融券賣出之部位必須以融券回補的方式沖銷。</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1</w:t>
      </w:r>
      <w:r>
        <w:rPr>
          <w:rFonts w:ascii="標楷體" w:eastAsia="標楷體" w:hAnsi="標楷體" w:cs="標楷體"/>
        </w:rPr>
        <w:t>1</w:t>
      </w:r>
      <w:r w:rsidRPr="00D92153">
        <w:rPr>
          <w:rFonts w:ascii="標楷體" w:eastAsia="標楷體" w:hAnsi="標楷體" w:cs="標楷體"/>
        </w:rPr>
        <w:t xml:space="preserve">. </w:t>
      </w:r>
      <w:r w:rsidRPr="00D92153">
        <w:rPr>
          <w:rFonts w:ascii="標楷體" w:eastAsia="標楷體" w:hAnsi="標楷體" w:cs="標楷體" w:hint="eastAsia"/>
        </w:rPr>
        <w:t>除權息處理：</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除權息由系統自動結算。</w:t>
      </w:r>
      <w:r w:rsidRPr="00D92153">
        <w:rPr>
          <w:rFonts w:ascii="標楷體" w:eastAsia="標楷體" w:hAnsi="標楷體" w:cs="標楷體"/>
        </w:rPr>
        <w:t xml:space="preserve"> </w:t>
      </w:r>
    </w:p>
    <w:p w:rsidR="00E724B9" w:rsidRPr="00D92153" w:rsidRDefault="00E724B9">
      <w:pPr>
        <w:spacing w:before="100" w:beforeAutospacing="1" w:after="100" w:afterAutospacing="1"/>
        <w:ind w:left="1080"/>
        <w:rPr>
          <w:rFonts w:ascii="標楷體" w:eastAsia="標楷體" w:hAnsi="標楷體" w:cs="標楷體"/>
        </w:rPr>
      </w:pPr>
      <w:r w:rsidRPr="00D92153">
        <w:rPr>
          <w:rFonts w:ascii="標楷體" w:eastAsia="標楷體" w:hAnsi="標楷體" w:cs="標楷體"/>
        </w:rPr>
        <w:t xml:space="preserve">(2) </w:t>
      </w:r>
      <w:r w:rsidRPr="00D92153">
        <w:rPr>
          <w:rFonts w:ascii="標楷體" w:eastAsia="標楷體" w:hAnsi="標楷體" w:cs="標楷體" w:hint="eastAsia"/>
        </w:rPr>
        <w:t>信用交易個股，於除權息日強迫贖回。</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1</w:t>
      </w:r>
      <w:r>
        <w:rPr>
          <w:rFonts w:ascii="標楷體" w:eastAsia="標楷體" w:hAnsi="標楷體" w:cs="標楷體"/>
        </w:rPr>
        <w:t>2</w:t>
      </w:r>
      <w:r w:rsidRPr="00D92153">
        <w:rPr>
          <w:rFonts w:ascii="標楷體" w:eastAsia="標楷體" w:hAnsi="標楷體" w:cs="標楷體"/>
        </w:rPr>
        <w:t xml:space="preserve">. </w:t>
      </w:r>
      <w:r w:rsidRPr="00D92153">
        <w:rPr>
          <w:rFonts w:ascii="標楷體" w:eastAsia="標楷體" w:hAnsi="標楷體" w:cs="標楷體" w:hint="eastAsia"/>
        </w:rPr>
        <w:t>各持股成本計算：採平均成本法。</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1</w:t>
      </w:r>
      <w:r>
        <w:rPr>
          <w:rFonts w:ascii="標楷體" w:eastAsia="標楷體" w:hAnsi="標楷體" w:cs="標楷體"/>
        </w:rPr>
        <w:t>3</w:t>
      </w:r>
      <w:r w:rsidRPr="00D92153">
        <w:rPr>
          <w:rFonts w:ascii="標楷體" w:eastAsia="標楷體" w:hAnsi="標楷體" w:cs="標楷體"/>
        </w:rPr>
        <w:t xml:space="preserve">. </w:t>
      </w:r>
      <w:r w:rsidRPr="00D92153">
        <w:rPr>
          <w:rFonts w:ascii="標楷體" w:eastAsia="標楷體" w:hAnsi="標楷體" w:cs="標楷體" w:hint="eastAsia"/>
        </w:rPr>
        <w:t>競賽成績公布：每日下午</w:t>
      </w:r>
      <w:r w:rsidRPr="00D92153">
        <w:rPr>
          <w:rFonts w:ascii="標楷體" w:eastAsia="標楷體" w:hAnsi="標楷體" w:cs="標楷體"/>
        </w:rPr>
        <w:t xml:space="preserve"> 4:00 </w:t>
      </w:r>
      <w:r w:rsidRPr="00D92153">
        <w:rPr>
          <w:rFonts w:ascii="標楷體" w:eastAsia="標楷體" w:hAnsi="標楷體" w:cs="標楷體" w:hint="eastAsia"/>
        </w:rPr>
        <w:t>之後。</w:t>
      </w:r>
      <w:r w:rsidRPr="00D92153">
        <w:rPr>
          <w:rFonts w:ascii="標楷體" w:eastAsia="標楷體" w:hAnsi="標楷體" w:cs="標楷體"/>
        </w:rPr>
        <w:t xml:space="preserve"> </w:t>
      </w:r>
    </w:p>
    <w:p w:rsidR="00E724B9" w:rsidRPr="00D92153" w:rsidRDefault="00E724B9">
      <w:pPr>
        <w:pStyle w:val="NormalWeb"/>
        <w:rPr>
          <w:rFonts w:ascii="標楷體" w:eastAsia="標楷體" w:hAnsi="標楷體"/>
        </w:rPr>
      </w:pPr>
    </w:p>
    <w:p w:rsidR="00E724B9" w:rsidRPr="00D92153" w:rsidRDefault="00E724B9">
      <w:pPr>
        <w:pStyle w:val="NormalWeb"/>
        <w:rPr>
          <w:rFonts w:ascii="標楷體" w:eastAsia="標楷體" w:hAnsi="標楷體" w:cs="標楷體"/>
        </w:rPr>
      </w:pPr>
      <w:r>
        <w:rPr>
          <w:rFonts w:ascii="標楷體" w:eastAsia="標楷體" w:hAnsi="標楷體" w:cs="標楷體" w:hint="eastAsia"/>
        </w:rPr>
        <w:t>四</w:t>
      </w:r>
      <w:r w:rsidRPr="00D92153">
        <w:rPr>
          <w:rFonts w:ascii="標楷體" w:eastAsia="標楷體" w:hAnsi="標楷體" w:cs="標楷體"/>
        </w:rPr>
        <w:t xml:space="preserve"> . </w:t>
      </w:r>
      <w:r w:rsidRPr="00D92153">
        <w:rPr>
          <w:rFonts w:ascii="標楷體" w:eastAsia="標楷體" w:hAnsi="標楷體" w:cs="標楷體" w:hint="eastAsia"/>
        </w:rPr>
        <w:t>例外狀況處理說明：</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1. </w:t>
      </w:r>
      <w:r w:rsidRPr="00D92153">
        <w:rPr>
          <w:rFonts w:ascii="標楷體" w:eastAsia="標楷體" w:hAnsi="標楷體" w:cs="標楷體" w:hint="eastAsia"/>
        </w:rPr>
        <w:t>如果系統因為任何因素，導致價格錯誤、延誤、撮合機制失效，主辦單位得視情形，宣布當天交易無效，並回到前一有效之交易結果。</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2. </w:t>
      </w:r>
      <w:r w:rsidRPr="00D92153">
        <w:rPr>
          <w:rFonts w:ascii="標楷體" w:eastAsia="標楷體" w:hAnsi="標楷體" w:cs="標楷體" w:hint="eastAsia"/>
        </w:rPr>
        <w:t>競賽開始日，開盤撮合時若遇有大量預約掛單，系統撮合間隔將隨掛單量增加而隨之增加。</w:t>
      </w:r>
      <w:r w:rsidRPr="00D92153">
        <w:rPr>
          <w:rFonts w:ascii="標楷體" w:eastAsia="標楷體" w:hAnsi="標楷體" w:cs="標楷體"/>
        </w:rPr>
        <w:t xml:space="preserve"> </w:t>
      </w:r>
    </w:p>
    <w:p w:rsidR="00E724B9" w:rsidRPr="00D92153" w:rsidRDefault="00E724B9">
      <w:pPr>
        <w:spacing w:before="100" w:beforeAutospacing="1" w:after="100" w:afterAutospacing="1"/>
        <w:ind w:left="360"/>
        <w:rPr>
          <w:rFonts w:ascii="標楷體" w:eastAsia="標楷體" w:hAnsi="標楷體" w:cs="標楷體"/>
        </w:rPr>
      </w:pPr>
      <w:r w:rsidRPr="00D92153">
        <w:rPr>
          <w:rFonts w:ascii="標楷體" w:eastAsia="標楷體" w:hAnsi="標楷體" w:cs="標楷體"/>
        </w:rPr>
        <w:t xml:space="preserve">3. </w:t>
      </w:r>
      <w:r w:rsidRPr="00D92153">
        <w:rPr>
          <w:rFonts w:ascii="標楷體" w:eastAsia="標楷體" w:hAnsi="標楷體" w:cs="標楷體" w:hint="eastAsia"/>
        </w:rPr>
        <w:t>本活動因故無法進行時，主辦單位有權決定取消、終止、修改或暫停活動；另本活動辦法有未盡事宜，主辦單位保有隨時修訂之權利，並公告於主辦單位網站。</w:t>
      </w:r>
      <w:r w:rsidRPr="00D92153">
        <w:rPr>
          <w:rFonts w:ascii="標楷體" w:eastAsia="標楷體" w:hAnsi="標楷體" w:cs="標楷體"/>
        </w:rPr>
        <w:t xml:space="preserve"> </w:t>
      </w:r>
    </w:p>
    <w:p w:rsidR="00E724B9" w:rsidRPr="00D92153" w:rsidRDefault="00E724B9">
      <w:pPr>
        <w:rPr>
          <w:rFonts w:ascii="標楷體" w:eastAsia="標楷體" w:hAnsi="標楷體"/>
        </w:rPr>
      </w:pPr>
    </w:p>
    <w:sectPr w:rsidR="00E724B9" w:rsidRPr="00D92153" w:rsidSect="00FA721C">
      <w:pgSz w:w="11906" w:h="16838"/>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B9" w:rsidRDefault="00E724B9">
      <w:r>
        <w:separator/>
      </w:r>
    </w:p>
  </w:endnote>
  <w:endnote w:type="continuationSeparator" w:id="0">
    <w:p w:rsidR="00E724B9" w:rsidRDefault="00E72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B9" w:rsidRDefault="00E724B9">
      <w:r>
        <w:separator/>
      </w:r>
    </w:p>
  </w:footnote>
  <w:footnote w:type="continuationSeparator" w:id="0">
    <w:p w:rsidR="00E724B9" w:rsidRDefault="00E72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79D5"/>
    <w:multiLevelType w:val="hybridMultilevel"/>
    <w:tmpl w:val="370AC6BE"/>
    <w:lvl w:ilvl="0" w:tplc="FA4CBD52">
      <w:start w:val="1"/>
      <w:numFmt w:val="decimal"/>
      <w:lvlText w:val="%1."/>
      <w:lvlJc w:val="left"/>
      <w:pPr>
        <w:tabs>
          <w:tab w:val="num" w:pos="1020"/>
        </w:tabs>
        <w:ind w:left="1020" w:hanging="480"/>
      </w:pPr>
      <w:rPr>
        <w:rFonts w:hint="eastAsia"/>
      </w:rPr>
    </w:lvl>
    <w:lvl w:ilvl="1" w:tplc="04D6F75E">
      <w:start w:val="1"/>
      <w:numFmt w:val="decimal"/>
      <w:lvlText w:val="（%2）"/>
      <w:lvlJc w:val="left"/>
      <w:pPr>
        <w:tabs>
          <w:tab w:val="num" w:pos="1800"/>
        </w:tabs>
        <w:ind w:left="1800" w:hanging="720"/>
      </w:pPr>
      <w:rPr>
        <w:rFonts w:hint="eastAsia"/>
      </w:rPr>
    </w:lvl>
    <w:lvl w:ilvl="2" w:tplc="0409000F">
      <w:start w:val="1"/>
      <w:numFmt w:val="decimal"/>
      <w:lvlText w:val="%3."/>
      <w:lvlJc w:val="lef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1">
    <w:nsid w:val="2451655C"/>
    <w:multiLevelType w:val="hybridMultilevel"/>
    <w:tmpl w:val="EFD424B2"/>
    <w:lvl w:ilvl="0" w:tplc="DE24844A">
      <w:start w:val="1"/>
      <w:numFmt w:val="decimal"/>
      <w:lvlText w:val="%1."/>
      <w:lvlJc w:val="left"/>
      <w:pPr>
        <w:tabs>
          <w:tab w:val="num" w:pos="720"/>
        </w:tabs>
        <w:ind w:left="720" w:hanging="360"/>
      </w:pPr>
    </w:lvl>
    <w:lvl w:ilvl="1" w:tplc="A06A6BC0">
      <w:start w:val="1"/>
      <w:numFmt w:val="decimal"/>
      <w:lvlText w:val="%2."/>
      <w:lvlJc w:val="left"/>
      <w:pPr>
        <w:tabs>
          <w:tab w:val="num" w:pos="1440"/>
        </w:tabs>
        <w:ind w:left="1440" w:hanging="360"/>
      </w:pPr>
    </w:lvl>
    <w:lvl w:ilvl="2" w:tplc="FBCE9AB6">
      <w:start w:val="1"/>
      <w:numFmt w:val="decimal"/>
      <w:lvlText w:val="%3."/>
      <w:lvlJc w:val="left"/>
      <w:pPr>
        <w:tabs>
          <w:tab w:val="num" w:pos="2160"/>
        </w:tabs>
        <w:ind w:left="2160" w:hanging="360"/>
      </w:pPr>
    </w:lvl>
    <w:lvl w:ilvl="3" w:tplc="C76631DA">
      <w:start w:val="1"/>
      <w:numFmt w:val="decimal"/>
      <w:lvlText w:val="%4."/>
      <w:lvlJc w:val="left"/>
      <w:pPr>
        <w:tabs>
          <w:tab w:val="num" w:pos="2880"/>
        </w:tabs>
        <w:ind w:left="2880" w:hanging="360"/>
      </w:pPr>
    </w:lvl>
    <w:lvl w:ilvl="4" w:tplc="4846F280">
      <w:start w:val="1"/>
      <w:numFmt w:val="decimal"/>
      <w:lvlText w:val="(%5)"/>
      <w:lvlJc w:val="left"/>
      <w:pPr>
        <w:tabs>
          <w:tab w:val="num" w:pos="3600"/>
        </w:tabs>
        <w:ind w:left="3600" w:hanging="360"/>
      </w:pPr>
      <w:rPr>
        <w:rFonts w:hint="eastAsia"/>
      </w:rPr>
    </w:lvl>
    <w:lvl w:ilvl="5" w:tplc="412CC07C">
      <w:start w:val="1"/>
      <w:numFmt w:val="decimal"/>
      <w:lvlText w:val="%6."/>
      <w:lvlJc w:val="left"/>
      <w:pPr>
        <w:tabs>
          <w:tab w:val="num" w:pos="4320"/>
        </w:tabs>
        <w:ind w:left="4320" w:hanging="360"/>
      </w:pPr>
    </w:lvl>
    <w:lvl w:ilvl="6" w:tplc="F70663C4">
      <w:start w:val="1"/>
      <w:numFmt w:val="decimal"/>
      <w:lvlText w:val="%7."/>
      <w:lvlJc w:val="left"/>
      <w:pPr>
        <w:tabs>
          <w:tab w:val="num" w:pos="5040"/>
        </w:tabs>
        <w:ind w:left="5040" w:hanging="360"/>
      </w:pPr>
    </w:lvl>
    <w:lvl w:ilvl="7" w:tplc="DBA4B716">
      <w:start w:val="1"/>
      <w:numFmt w:val="decimal"/>
      <w:lvlText w:val="%8."/>
      <w:lvlJc w:val="left"/>
      <w:pPr>
        <w:tabs>
          <w:tab w:val="num" w:pos="5760"/>
        </w:tabs>
        <w:ind w:left="5760" w:hanging="360"/>
      </w:pPr>
    </w:lvl>
    <w:lvl w:ilvl="8" w:tplc="3724D010">
      <w:start w:val="1"/>
      <w:numFmt w:val="decimal"/>
      <w:lvlText w:val="%9."/>
      <w:lvlJc w:val="left"/>
      <w:pPr>
        <w:tabs>
          <w:tab w:val="num" w:pos="6480"/>
        </w:tabs>
        <w:ind w:left="6480" w:hanging="360"/>
      </w:pPr>
    </w:lvl>
  </w:abstractNum>
  <w:abstractNum w:abstractNumId="2">
    <w:nsid w:val="55D75925"/>
    <w:multiLevelType w:val="hybridMultilevel"/>
    <w:tmpl w:val="5882EA18"/>
    <w:lvl w:ilvl="0" w:tplc="4836C656">
      <w:start w:val="1"/>
      <w:numFmt w:val="decimal"/>
      <w:lvlText w:val="%1."/>
      <w:lvlJc w:val="left"/>
      <w:pPr>
        <w:tabs>
          <w:tab w:val="num" w:pos="720"/>
        </w:tabs>
        <w:ind w:left="720" w:hanging="360"/>
      </w:pPr>
    </w:lvl>
    <w:lvl w:ilvl="1" w:tplc="4B8EF8BA">
      <w:start w:val="1"/>
      <w:numFmt w:val="decimal"/>
      <w:lvlText w:val="%2."/>
      <w:lvlJc w:val="left"/>
      <w:pPr>
        <w:tabs>
          <w:tab w:val="num" w:pos="1440"/>
        </w:tabs>
        <w:ind w:left="1440" w:hanging="360"/>
      </w:pPr>
    </w:lvl>
    <w:lvl w:ilvl="2" w:tplc="9E9AED4A">
      <w:start w:val="1"/>
      <w:numFmt w:val="decimal"/>
      <w:lvlText w:val="%3."/>
      <w:lvlJc w:val="left"/>
      <w:pPr>
        <w:tabs>
          <w:tab w:val="num" w:pos="2160"/>
        </w:tabs>
        <w:ind w:left="2160" w:hanging="360"/>
      </w:pPr>
    </w:lvl>
    <w:lvl w:ilvl="3" w:tplc="E09A0C06">
      <w:start w:val="1"/>
      <w:numFmt w:val="decimal"/>
      <w:lvlText w:val="%4."/>
      <w:lvlJc w:val="left"/>
      <w:pPr>
        <w:tabs>
          <w:tab w:val="num" w:pos="2880"/>
        </w:tabs>
        <w:ind w:left="2880" w:hanging="360"/>
      </w:pPr>
    </w:lvl>
    <w:lvl w:ilvl="4" w:tplc="C7E64E2E">
      <w:start w:val="1"/>
      <w:numFmt w:val="decimal"/>
      <w:lvlText w:val="%5."/>
      <w:lvlJc w:val="left"/>
      <w:pPr>
        <w:tabs>
          <w:tab w:val="num" w:pos="3600"/>
        </w:tabs>
        <w:ind w:left="3600" w:hanging="360"/>
      </w:pPr>
    </w:lvl>
    <w:lvl w:ilvl="5" w:tplc="9C96BEF8">
      <w:start w:val="1"/>
      <w:numFmt w:val="decimal"/>
      <w:lvlText w:val="%6."/>
      <w:lvlJc w:val="left"/>
      <w:pPr>
        <w:tabs>
          <w:tab w:val="num" w:pos="4320"/>
        </w:tabs>
        <w:ind w:left="4320" w:hanging="360"/>
      </w:pPr>
    </w:lvl>
    <w:lvl w:ilvl="6" w:tplc="AB16FD88">
      <w:start w:val="1"/>
      <w:numFmt w:val="decimal"/>
      <w:lvlText w:val="%7."/>
      <w:lvlJc w:val="left"/>
      <w:pPr>
        <w:tabs>
          <w:tab w:val="num" w:pos="5040"/>
        </w:tabs>
        <w:ind w:left="5040" w:hanging="360"/>
      </w:pPr>
    </w:lvl>
    <w:lvl w:ilvl="7" w:tplc="03702E06">
      <w:start w:val="1"/>
      <w:numFmt w:val="decimal"/>
      <w:lvlText w:val="%8."/>
      <w:lvlJc w:val="left"/>
      <w:pPr>
        <w:tabs>
          <w:tab w:val="num" w:pos="5760"/>
        </w:tabs>
        <w:ind w:left="5760" w:hanging="360"/>
      </w:pPr>
    </w:lvl>
    <w:lvl w:ilvl="8" w:tplc="1472A95C">
      <w:start w:val="1"/>
      <w:numFmt w:val="decimal"/>
      <w:lvlText w:val="%9."/>
      <w:lvlJc w:val="left"/>
      <w:pPr>
        <w:tabs>
          <w:tab w:val="num" w:pos="6480"/>
        </w:tabs>
        <w:ind w:left="6480" w:hanging="360"/>
      </w:pPr>
    </w:lvl>
  </w:abstractNum>
  <w:abstractNum w:abstractNumId="3">
    <w:nsid w:val="6D686F96"/>
    <w:multiLevelType w:val="hybridMultilevel"/>
    <w:tmpl w:val="3A1E0A8A"/>
    <w:lvl w:ilvl="0" w:tplc="9E3A8DE2">
      <w:start w:val="1"/>
      <w:numFmt w:val="decimal"/>
      <w:lvlText w:val="%1."/>
      <w:lvlJc w:val="left"/>
      <w:pPr>
        <w:tabs>
          <w:tab w:val="num" w:pos="720"/>
        </w:tabs>
        <w:ind w:left="720" w:hanging="360"/>
      </w:pPr>
    </w:lvl>
    <w:lvl w:ilvl="1" w:tplc="AD2263B8">
      <w:start w:val="1"/>
      <w:numFmt w:val="decimal"/>
      <w:lvlText w:val="%2."/>
      <w:lvlJc w:val="left"/>
      <w:pPr>
        <w:tabs>
          <w:tab w:val="num" w:pos="1440"/>
        </w:tabs>
        <w:ind w:left="1440" w:hanging="360"/>
      </w:pPr>
    </w:lvl>
    <w:lvl w:ilvl="2" w:tplc="17103638">
      <w:start w:val="1"/>
      <w:numFmt w:val="decimal"/>
      <w:lvlText w:val="%3."/>
      <w:lvlJc w:val="left"/>
      <w:pPr>
        <w:tabs>
          <w:tab w:val="num" w:pos="2160"/>
        </w:tabs>
        <w:ind w:left="2160" w:hanging="360"/>
      </w:pPr>
    </w:lvl>
    <w:lvl w:ilvl="3" w:tplc="71369B9A">
      <w:start w:val="1"/>
      <w:numFmt w:val="decimal"/>
      <w:lvlText w:val="%4."/>
      <w:lvlJc w:val="left"/>
      <w:pPr>
        <w:tabs>
          <w:tab w:val="num" w:pos="2880"/>
        </w:tabs>
        <w:ind w:left="2880" w:hanging="360"/>
      </w:pPr>
    </w:lvl>
    <w:lvl w:ilvl="4" w:tplc="E1A2B3D6">
      <w:start w:val="1"/>
      <w:numFmt w:val="decimal"/>
      <w:lvlText w:val="%5."/>
      <w:lvlJc w:val="left"/>
      <w:pPr>
        <w:tabs>
          <w:tab w:val="num" w:pos="3600"/>
        </w:tabs>
        <w:ind w:left="3600" w:hanging="360"/>
      </w:pPr>
    </w:lvl>
    <w:lvl w:ilvl="5" w:tplc="B08A1A3C">
      <w:start w:val="1"/>
      <w:numFmt w:val="decimal"/>
      <w:lvlText w:val="%6."/>
      <w:lvlJc w:val="left"/>
      <w:pPr>
        <w:tabs>
          <w:tab w:val="num" w:pos="4320"/>
        </w:tabs>
        <w:ind w:left="4320" w:hanging="360"/>
      </w:pPr>
    </w:lvl>
    <w:lvl w:ilvl="6" w:tplc="DCE019BE">
      <w:start w:val="1"/>
      <w:numFmt w:val="decimal"/>
      <w:lvlText w:val="%7."/>
      <w:lvlJc w:val="left"/>
      <w:pPr>
        <w:tabs>
          <w:tab w:val="num" w:pos="5040"/>
        </w:tabs>
        <w:ind w:left="5040" w:hanging="360"/>
      </w:pPr>
    </w:lvl>
    <w:lvl w:ilvl="7" w:tplc="E932AFA0">
      <w:start w:val="1"/>
      <w:numFmt w:val="decimal"/>
      <w:lvlText w:val="%8."/>
      <w:lvlJc w:val="left"/>
      <w:pPr>
        <w:tabs>
          <w:tab w:val="num" w:pos="5760"/>
        </w:tabs>
        <w:ind w:left="5760" w:hanging="360"/>
      </w:pPr>
    </w:lvl>
    <w:lvl w:ilvl="8" w:tplc="28AC9BEA">
      <w:start w:val="1"/>
      <w:numFmt w:val="decimal"/>
      <w:lvlText w:val="%9."/>
      <w:lvlJc w:val="left"/>
      <w:pPr>
        <w:tabs>
          <w:tab w:val="num" w:pos="6480"/>
        </w:tabs>
        <w:ind w:left="6480" w:hanging="360"/>
      </w:pPr>
    </w:lvl>
  </w:abstractNum>
  <w:abstractNum w:abstractNumId="4">
    <w:nsid w:val="72E63ADD"/>
    <w:multiLevelType w:val="hybridMultilevel"/>
    <w:tmpl w:val="02CE0030"/>
    <w:lvl w:ilvl="0" w:tplc="8E2E0C6C">
      <w:start w:val="1"/>
      <w:numFmt w:val="decimal"/>
      <w:lvlText w:val="%1."/>
      <w:lvlJc w:val="left"/>
      <w:pPr>
        <w:tabs>
          <w:tab w:val="num" w:pos="720"/>
        </w:tabs>
        <w:ind w:left="720" w:hanging="360"/>
      </w:pPr>
    </w:lvl>
    <w:lvl w:ilvl="1" w:tplc="C70492FC">
      <w:start w:val="1"/>
      <w:numFmt w:val="decimal"/>
      <w:lvlText w:val="%2."/>
      <w:lvlJc w:val="left"/>
      <w:pPr>
        <w:tabs>
          <w:tab w:val="num" w:pos="1440"/>
        </w:tabs>
        <w:ind w:left="1440" w:hanging="360"/>
      </w:pPr>
    </w:lvl>
    <w:lvl w:ilvl="2" w:tplc="75304F68">
      <w:start w:val="1"/>
      <w:numFmt w:val="decimal"/>
      <w:lvlText w:val="%3."/>
      <w:lvlJc w:val="left"/>
      <w:pPr>
        <w:tabs>
          <w:tab w:val="num" w:pos="2160"/>
        </w:tabs>
        <w:ind w:left="2160" w:hanging="360"/>
      </w:pPr>
    </w:lvl>
    <w:lvl w:ilvl="3" w:tplc="A7D62D3E">
      <w:start w:val="1"/>
      <w:numFmt w:val="decimal"/>
      <w:lvlText w:val="%4."/>
      <w:lvlJc w:val="left"/>
      <w:pPr>
        <w:tabs>
          <w:tab w:val="num" w:pos="2880"/>
        </w:tabs>
        <w:ind w:left="2880" w:hanging="360"/>
      </w:pPr>
    </w:lvl>
    <w:lvl w:ilvl="4" w:tplc="007E5EB8">
      <w:start w:val="1"/>
      <w:numFmt w:val="decimal"/>
      <w:lvlText w:val="%5."/>
      <w:lvlJc w:val="left"/>
      <w:pPr>
        <w:tabs>
          <w:tab w:val="num" w:pos="3600"/>
        </w:tabs>
        <w:ind w:left="3600" w:hanging="360"/>
      </w:pPr>
    </w:lvl>
    <w:lvl w:ilvl="5" w:tplc="2DA8EC32">
      <w:start w:val="1"/>
      <w:numFmt w:val="decimal"/>
      <w:lvlText w:val="%6."/>
      <w:lvlJc w:val="left"/>
      <w:pPr>
        <w:tabs>
          <w:tab w:val="num" w:pos="4320"/>
        </w:tabs>
        <w:ind w:left="4320" w:hanging="360"/>
      </w:pPr>
    </w:lvl>
    <w:lvl w:ilvl="6" w:tplc="DB8ADCD2">
      <w:start w:val="1"/>
      <w:numFmt w:val="decimal"/>
      <w:lvlText w:val="%7."/>
      <w:lvlJc w:val="left"/>
      <w:pPr>
        <w:tabs>
          <w:tab w:val="num" w:pos="5040"/>
        </w:tabs>
        <w:ind w:left="5040" w:hanging="360"/>
      </w:pPr>
    </w:lvl>
    <w:lvl w:ilvl="7" w:tplc="1E74BCCE">
      <w:start w:val="1"/>
      <w:numFmt w:val="decimal"/>
      <w:lvlText w:val="%8."/>
      <w:lvlJc w:val="left"/>
      <w:pPr>
        <w:tabs>
          <w:tab w:val="num" w:pos="5760"/>
        </w:tabs>
        <w:ind w:left="5760" w:hanging="360"/>
      </w:pPr>
    </w:lvl>
    <w:lvl w:ilvl="8" w:tplc="D28A90F2">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noPunctuationKerning/>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793"/>
    <w:rsid w:val="00012F58"/>
    <w:rsid w:val="00071848"/>
    <w:rsid w:val="000F0BC3"/>
    <w:rsid w:val="001414F3"/>
    <w:rsid w:val="00173E2B"/>
    <w:rsid w:val="001D2957"/>
    <w:rsid w:val="002203D8"/>
    <w:rsid w:val="002901A4"/>
    <w:rsid w:val="0039110F"/>
    <w:rsid w:val="003A340F"/>
    <w:rsid w:val="003A3B9E"/>
    <w:rsid w:val="003A6422"/>
    <w:rsid w:val="003D327B"/>
    <w:rsid w:val="00486D19"/>
    <w:rsid w:val="005641B9"/>
    <w:rsid w:val="005A7D55"/>
    <w:rsid w:val="005C2468"/>
    <w:rsid w:val="005C731A"/>
    <w:rsid w:val="005E1F97"/>
    <w:rsid w:val="005F48C1"/>
    <w:rsid w:val="006C608A"/>
    <w:rsid w:val="00741793"/>
    <w:rsid w:val="007A2910"/>
    <w:rsid w:val="0084517C"/>
    <w:rsid w:val="008B1F0A"/>
    <w:rsid w:val="0094613D"/>
    <w:rsid w:val="00972DBC"/>
    <w:rsid w:val="00977B50"/>
    <w:rsid w:val="0098316E"/>
    <w:rsid w:val="009C21B1"/>
    <w:rsid w:val="00A10B05"/>
    <w:rsid w:val="00A55028"/>
    <w:rsid w:val="00A75218"/>
    <w:rsid w:val="00A91F1B"/>
    <w:rsid w:val="00B90524"/>
    <w:rsid w:val="00BE0FAF"/>
    <w:rsid w:val="00C0244B"/>
    <w:rsid w:val="00CD1944"/>
    <w:rsid w:val="00D510D5"/>
    <w:rsid w:val="00D92153"/>
    <w:rsid w:val="00E01A30"/>
    <w:rsid w:val="00E724B9"/>
    <w:rsid w:val="00F552A0"/>
    <w:rsid w:val="00F841FB"/>
    <w:rsid w:val="00FA721C"/>
    <w:rsid w:val="00FC249A"/>
    <w:rsid w:val="00FD50B2"/>
    <w:rsid w:val="00FE46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1C"/>
    <w:rPr>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A721C"/>
    <w:pPr>
      <w:widowControl w:val="0"/>
      <w:tabs>
        <w:tab w:val="center" w:pos="4153"/>
        <w:tab w:val="right" w:pos="8306"/>
      </w:tabs>
      <w:snapToGrid w:val="0"/>
    </w:pPr>
    <w:rPr>
      <w:kern w:val="2"/>
      <w:sz w:val="20"/>
      <w:szCs w:val="20"/>
    </w:rPr>
  </w:style>
  <w:style w:type="character" w:customStyle="1" w:styleId="FooterChar">
    <w:name w:val="Footer Char"/>
    <w:basedOn w:val="DefaultParagraphFont"/>
    <w:link w:val="Footer"/>
    <w:uiPriority w:val="99"/>
    <w:semiHidden/>
    <w:rsid w:val="00456015"/>
    <w:rPr>
      <w:kern w:val="0"/>
      <w:sz w:val="20"/>
      <w:szCs w:val="20"/>
    </w:rPr>
  </w:style>
  <w:style w:type="paragraph" w:customStyle="1" w:styleId="10">
    <w:name w:val="10"/>
    <w:basedOn w:val="NormalWeb"/>
    <w:uiPriority w:val="99"/>
    <w:rsid w:val="00FA721C"/>
    <w:pPr>
      <w:spacing w:line="280" w:lineRule="atLeast"/>
    </w:pPr>
    <w:rPr>
      <w:rFonts w:ascii="新細明體" w:hAnsi="新細明體" w:cs="新細明體"/>
      <w:sz w:val="20"/>
      <w:szCs w:val="20"/>
    </w:rPr>
  </w:style>
  <w:style w:type="paragraph" w:styleId="NormalWeb">
    <w:name w:val="Normal (Web)"/>
    <w:basedOn w:val="Normal"/>
    <w:uiPriority w:val="99"/>
    <w:semiHidden/>
    <w:rsid w:val="00FA721C"/>
  </w:style>
  <w:style w:type="character" w:styleId="Strong">
    <w:name w:val="Strong"/>
    <w:basedOn w:val="DefaultParagraphFont"/>
    <w:uiPriority w:val="99"/>
    <w:qFormat/>
    <w:rsid w:val="00FA721C"/>
    <w:rPr>
      <w:b/>
      <w:bCs/>
    </w:rPr>
  </w:style>
  <w:style w:type="paragraph" w:styleId="Header">
    <w:name w:val="header"/>
    <w:basedOn w:val="Normal"/>
    <w:link w:val="HeaderChar"/>
    <w:uiPriority w:val="99"/>
    <w:semiHidden/>
    <w:rsid w:val="00FA721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56015"/>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282</Words>
  <Characters>1609</Characters>
  <Application>Microsoft Office Outlook</Application>
  <DocSecurity>0</DocSecurity>
  <Lines>0</Lines>
  <Paragraphs>0</Paragraphs>
  <ScaleCrop>false</ScaleCrop>
  <Company>apex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投資模擬競賽</dc:title>
  <dc:subject/>
  <dc:creator>anne</dc:creator>
  <cp:keywords/>
  <dc:description/>
  <cp:lastModifiedBy>user</cp:lastModifiedBy>
  <cp:revision>2</cp:revision>
  <dcterms:created xsi:type="dcterms:W3CDTF">2015-10-15T00:49:00Z</dcterms:created>
  <dcterms:modified xsi:type="dcterms:W3CDTF">2015-10-15T00:49:00Z</dcterms:modified>
</cp:coreProperties>
</file>